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E383C" w14:textId="4A7402FC" w:rsidR="002D5F55" w:rsidRDefault="000F7AA0">
      <w:pPr>
        <w:pStyle w:val="Subtitle"/>
        <w:rPr>
          <w:b/>
          <w:i w:val="0"/>
          <w:iCs/>
          <w:kern w:val="28"/>
          <w:sz w:val="32"/>
        </w:rPr>
      </w:pPr>
      <w:r>
        <w:rPr>
          <w:b/>
          <w:i w:val="0"/>
          <w:iCs/>
          <w:kern w:val="28"/>
          <w:sz w:val="32"/>
        </w:rPr>
        <w:t xml:space="preserve">Safe Affordable Drinking Water Funding with Equity and </w:t>
      </w:r>
      <w:r w:rsidR="005635B0">
        <w:rPr>
          <w:b/>
          <w:i w:val="0"/>
          <w:iCs/>
          <w:kern w:val="28"/>
          <w:sz w:val="32"/>
        </w:rPr>
        <w:t>Resilience</w:t>
      </w:r>
    </w:p>
    <w:p w14:paraId="52399635" w14:textId="77777777" w:rsidR="005635B0" w:rsidRDefault="005635B0">
      <w:pPr>
        <w:pStyle w:val="Subtitle"/>
      </w:pPr>
    </w:p>
    <w:p w14:paraId="22F03E2D" w14:textId="77777777" w:rsidR="002D5F55" w:rsidRDefault="002D5F55">
      <w:pPr>
        <w:pStyle w:val="Subtitle"/>
      </w:pPr>
      <w:r>
        <w:t>By Andrew H. Sawyer</w:t>
      </w:r>
      <w:r>
        <w:rPr>
          <w:rStyle w:val="FootnoteReference"/>
        </w:rPr>
        <w:footnoteReference w:customMarkFollows="1" w:id="1"/>
        <w:t>*</w:t>
      </w:r>
    </w:p>
    <w:p w14:paraId="758DF8CB" w14:textId="77777777" w:rsidR="00D72C4C" w:rsidRDefault="00D72C4C" w:rsidP="00D72C4C">
      <w:pPr>
        <w:ind w:left="720"/>
      </w:pPr>
    </w:p>
    <w:p w14:paraId="628E89A4" w14:textId="77777777" w:rsidR="00D72C4C" w:rsidRDefault="00D72C4C" w:rsidP="00D72C4C">
      <w:pPr>
        <w:ind w:left="720"/>
      </w:pPr>
    </w:p>
    <w:p w14:paraId="129513A7" w14:textId="6BCA3429" w:rsidR="002D5F55" w:rsidRDefault="000C0538" w:rsidP="000C0538">
      <w:pPr>
        <w:pStyle w:val="List3"/>
        <w:ind w:left="360"/>
        <w:rPr>
          <w:rFonts w:ascii="Arial" w:hAnsi="Arial" w:cs="Arial"/>
        </w:rPr>
      </w:pPr>
      <w:r>
        <w:rPr>
          <w:rFonts w:ascii="Arial" w:hAnsi="Arial" w:cs="Arial"/>
        </w:rPr>
        <w:t>I</w:t>
      </w:r>
      <w:r w:rsidR="002D5F55">
        <w:rPr>
          <w:rFonts w:ascii="Arial" w:hAnsi="Arial" w:cs="Arial"/>
        </w:rPr>
        <w:t>.</w:t>
      </w:r>
      <w:r w:rsidR="002D5F55">
        <w:rPr>
          <w:rFonts w:ascii="Arial" w:hAnsi="Arial" w:cs="Arial"/>
        </w:rPr>
        <w:tab/>
      </w:r>
      <w:r w:rsidR="000F7AA0">
        <w:rPr>
          <w:rFonts w:ascii="Arial" w:hAnsi="Arial" w:cs="Arial"/>
        </w:rPr>
        <w:t>California Safe Drinking Water Act (Health &amp; Saf. Code, § 116270 et seq.)</w:t>
      </w:r>
    </w:p>
    <w:p w14:paraId="7C1FADCE" w14:textId="77777777" w:rsidR="000C0538" w:rsidRDefault="000C0538" w:rsidP="000C0538">
      <w:pPr>
        <w:pStyle w:val="List3"/>
        <w:ind w:left="360"/>
        <w:rPr>
          <w:rFonts w:ascii="Arial" w:hAnsi="Arial" w:cs="Arial"/>
        </w:rPr>
      </w:pPr>
    </w:p>
    <w:p w14:paraId="665BA441" w14:textId="52CF6782" w:rsidR="00DC2F4D" w:rsidRDefault="000C0538" w:rsidP="000A45F6">
      <w:pPr>
        <w:pStyle w:val="List3"/>
        <w:ind w:left="720"/>
        <w:rPr>
          <w:rFonts w:ascii="Arial" w:hAnsi="Arial" w:cs="Arial"/>
        </w:rPr>
      </w:pPr>
      <w:r>
        <w:rPr>
          <w:rFonts w:ascii="Arial" w:hAnsi="Arial" w:cs="Arial"/>
        </w:rPr>
        <w:t xml:space="preserve">A. </w:t>
      </w:r>
      <w:r>
        <w:rPr>
          <w:rFonts w:ascii="Arial" w:hAnsi="Arial" w:cs="Arial"/>
        </w:rPr>
        <w:tab/>
      </w:r>
      <w:r w:rsidR="000F7AA0">
        <w:rPr>
          <w:rFonts w:ascii="Arial" w:hAnsi="Arial" w:cs="Arial"/>
        </w:rPr>
        <w:t>Regulates public water systems to protect public health.</w:t>
      </w:r>
      <w:r w:rsidR="000A45F6">
        <w:rPr>
          <w:rFonts w:ascii="Arial" w:hAnsi="Arial" w:cs="Arial"/>
        </w:rPr>
        <w:t xml:space="preserve"> </w:t>
      </w:r>
      <w:r w:rsidR="000F7AA0">
        <w:rPr>
          <w:rFonts w:ascii="Arial" w:hAnsi="Arial" w:cs="Arial"/>
        </w:rPr>
        <w:t>Public water systems include both publicly owned and privately owned systems providing drinking water to 15 or more service connection or that regularly provide drinking water to at least 25 people daily at least 60 days of the year. (Health &amp; Saf. Code, § 116</w:t>
      </w:r>
      <w:r w:rsidR="00C140E0">
        <w:rPr>
          <w:rFonts w:ascii="Arial" w:hAnsi="Arial" w:cs="Arial"/>
        </w:rPr>
        <w:t>27</w:t>
      </w:r>
      <w:r w:rsidR="000F7AA0">
        <w:rPr>
          <w:rFonts w:ascii="Arial" w:hAnsi="Arial" w:cs="Arial"/>
        </w:rPr>
        <w:t xml:space="preserve">5, </w:t>
      </w:r>
      <w:proofErr w:type="spellStart"/>
      <w:r w:rsidR="000F7AA0">
        <w:rPr>
          <w:rFonts w:ascii="Arial" w:hAnsi="Arial" w:cs="Arial"/>
        </w:rPr>
        <w:t>subd</w:t>
      </w:r>
      <w:proofErr w:type="spellEnd"/>
      <w:r w:rsidR="000F7AA0">
        <w:rPr>
          <w:rFonts w:ascii="Arial" w:hAnsi="Arial" w:cs="Arial"/>
        </w:rPr>
        <w:t>. (h).</w:t>
      </w:r>
      <w:r w:rsidR="005635B0">
        <w:rPr>
          <w:rFonts w:ascii="Arial" w:hAnsi="Arial" w:cs="Arial"/>
        </w:rPr>
        <w:t>)</w:t>
      </w:r>
      <w:r w:rsidR="000F7AA0">
        <w:rPr>
          <w:rFonts w:ascii="Arial" w:hAnsi="Arial" w:cs="Arial"/>
        </w:rPr>
        <w:t xml:space="preserve"> Public water systems include community </w:t>
      </w:r>
      <w:r w:rsidR="00FE3210">
        <w:rPr>
          <w:rFonts w:ascii="Arial" w:hAnsi="Arial" w:cs="Arial"/>
        </w:rPr>
        <w:t>systems, which serve 15 or more connections</w:t>
      </w:r>
      <w:r w:rsidR="00C140E0">
        <w:rPr>
          <w:rFonts w:ascii="Arial" w:hAnsi="Arial" w:cs="Arial"/>
        </w:rPr>
        <w:t xml:space="preserve"> for</w:t>
      </w:r>
      <w:r w:rsidR="00FE3210">
        <w:rPr>
          <w:rFonts w:ascii="Arial" w:hAnsi="Arial" w:cs="Arial"/>
        </w:rPr>
        <w:t xml:space="preserve"> yearlong residents or 25 or more yearlong residents. (</w:t>
      </w:r>
      <w:r w:rsidR="00FE3210">
        <w:rPr>
          <w:rFonts w:ascii="Arial" w:hAnsi="Arial" w:cs="Arial"/>
          <w:i/>
          <w:iCs/>
        </w:rPr>
        <w:t>Id.</w:t>
      </w:r>
      <w:r w:rsidR="00FE3210">
        <w:rPr>
          <w:rFonts w:ascii="Arial" w:hAnsi="Arial" w:cs="Arial"/>
        </w:rPr>
        <w:t>, subd. (</w:t>
      </w:r>
      <w:proofErr w:type="spellStart"/>
      <w:r w:rsidR="00FE3210">
        <w:rPr>
          <w:rFonts w:ascii="Arial" w:hAnsi="Arial" w:cs="Arial"/>
        </w:rPr>
        <w:t>i</w:t>
      </w:r>
      <w:proofErr w:type="spellEnd"/>
      <w:r w:rsidR="00FE3210">
        <w:rPr>
          <w:rFonts w:ascii="Arial" w:hAnsi="Arial" w:cs="Arial"/>
        </w:rPr>
        <w:t xml:space="preserve">)) Public water systems also serve transient and </w:t>
      </w:r>
      <w:proofErr w:type="spellStart"/>
      <w:r w:rsidR="00FE3210">
        <w:rPr>
          <w:rFonts w:ascii="Arial" w:hAnsi="Arial" w:cs="Arial"/>
        </w:rPr>
        <w:t>nontransient</w:t>
      </w:r>
      <w:proofErr w:type="spellEnd"/>
      <w:r w:rsidR="00FE3210">
        <w:rPr>
          <w:rFonts w:ascii="Arial" w:hAnsi="Arial" w:cs="Arial"/>
        </w:rPr>
        <w:t xml:space="preserve"> </w:t>
      </w:r>
      <w:proofErr w:type="spellStart"/>
      <w:r w:rsidR="00FE3210">
        <w:rPr>
          <w:rFonts w:ascii="Arial" w:hAnsi="Arial" w:cs="Arial"/>
        </w:rPr>
        <w:t>noncommunity</w:t>
      </w:r>
      <w:proofErr w:type="spellEnd"/>
      <w:r w:rsidR="00FE3210">
        <w:rPr>
          <w:rFonts w:ascii="Arial" w:hAnsi="Arial" w:cs="Arial"/>
        </w:rPr>
        <w:t xml:space="preserve"> water systems. (</w:t>
      </w:r>
      <w:r w:rsidR="00FE3210">
        <w:rPr>
          <w:rFonts w:ascii="Arial" w:hAnsi="Arial" w:cs="Arial"/>
          <w:i/>
          <w:iCs/>
        </w:rPr>
        <w:t>Id.</w:t>
      </w:r>
      <w:r w:rsidR="00FE3210">
        <w:rPr>
          <w:rFonts w:ascii="Arial" w:hAnsi="Arial" w:cs="Arial"/>
        </w:rPr>
        <w:t>, subd. (j), (k) &amp; (o).)</w:t>
      </w:r>
    </w:p>
    <w:p w14:paraId="1D1849CC" w14:textId="47D3E6E8" w:rsidR="000A45F6" w:rsidRDefault="000A45F6" w:rsidP="000A45F6">
      <w:pPr>
        <w:pStyle w:val="List3"/>
        <w:ind w:left="720"/>
        <w:rPr>
          <w:rFonts w:ascii="Arial" w:hAnsi="Arial" w:cs="Arial"/>
        </w:rPr>
      </w:pPr>
    </w:p>
    <w:p w14:paraId="6B451B6E" w14:textId="77777777" w:rsidR="003F762B" w:rsidRDefault="00D13758" w:rsidP="007F1671">
      <w:pPr>
        <w:spacing w:after="240"/>
        <w:ind w:left="720" w:hanging="360"/>
      </w:pPr>
      <w:r>
        <w:t xml:space="preserve">B. </w:t>
      </w:r>
      <w:r w:rsidR="000A45F6">
        <w:t xml:space="preserve"> </w:t>
      </w:r>
      <w:r w:rsidR="003F762B">
        <w:t>Drinking Water Standards</w:t>
      </w:r>
    </w:p>
    <w:p w14:paraId="4BA44563" w14:textId="0593802E" w:rsidR="00FD1DC5" w:rsidRDefault="003F762B" w:rsidP="003F762B">
      <w:pPr>
        <w:spacing w:after="240"/>
        <w:ind w:left="1080" w:hanging="360"/>
      </w:pPr>
      <w:r>
        <w:t xml:space="preserve">1.  </w:t>
      </w:r>
      <w:r w:rsidR="00FD1DC5">
        <w:t>The State Water Board adopts primary drinking water standards for contaminants in drinking water, which must be at least as stringent as national primary drinking water standards adopted by the United States Environmental Protection Agency (USEPA). (Health &amp; Saf. Code, § 11</w:t>
      </w:r>
      <w:r w:rsidR="00657F52">
        <w:t>6</w:t>
      </w:r>
      <w:r w:rsidR="00FD1DC5">
        <w:t>365, subd. (a).) The standards must be as close to the public health goal set by the Office of Environmental Health Hazard Assessment</w:t>
      </w:r>
      <w:r w:rsidR="005635B0">
        <w:t xml:space="preserve"> as is technologically and economically feasible</w:t>
      </w:r>
      <w:r w:rsidR="00FD1DC5">
        <w:t>, placing primary emphasis on public health. (</w:t>
      </w:r>
      <w:proofErr w:type="gramStart"/>
      <w:r w:rsidR="00FD1DC5">
        <w:rPr>
          <w:i/>
          <w:iCs/>
        </w:rPr>
        <w:t>Ibid.</w:t>
      </w:r>
      <w:r w:rsidR="00FD1DC5">
        <w:t>,</w:t>
      </w:r>
      <w:proofErr w:type="gramEnd"/>
      <w:r w:rsidR="00FD1DC5">
        <w:t xml:space="preserve"> see </w:t>
      </w:r>
      <w:r w:rsidR="00FD1DC5">
        <w:rPr>
          <w:i/>
          <w:iCs/>
        </w:rPr>
        <w:t xml:space="preserve">id. </w:t>
      </w:r>
      <w:r w:rsidR="00FD1DC5">
        <w:t>subd. (c).)</w:t>
      </w:r>
    </w:p>
    <w:p w14:paraId="65785BF3" w14:textId="5E901AAA" w:rsidR="00A52469" w:rsidRDefault="003F762B" w:rsidP="003F762B">
      <w:pPr>
        <w:spacing w:after="240"/>
        <w:ind w:left="1080" w:hanging="360"/>
      </w:pPr>
      <w:r>
        <w:t xml:space="preserve">2.  </w:t>
      </w:r>
      <w:r w:rsidR="00A52469">
        <w:t xml:space="preserve">The State Water Board adopts secondary drinking water standards, as necessary to protect the public welfare, including standards for contaminants adversely affecting odor and appearance. (See Health &amp; Saf. Code, § 116275, subd. </w:t>
      </w:r>
      <w:r>
        <w:t>(d)</w:t>
      </w:r>
      <w:r w:rsidR="00B4581F">
        <w:t>, 116375</w:t>
      </w:r>
      <w:r>
        <w:t>.)</w:t>
      </w:r>
    </w:p>
    <w:p w14:paraId="27D48DAC" w14:textId="06A9145F" w:rsidR="003F762B" w:rsidRDefault="003F762B" w:rsidP="003F762B">
      <w:pPr>
        <w:spacing w:after="240"/>
        <w:ind w:left="1080" w:hanging="360"/>
      </w:pPr>
      <w:r>
        <w:t>3.</w:t>
      </w:r>
      <w:r>
        <w:tab/>
        <w:t>Public water systems are required to comply with primary and secondary drinking water standards. (Health &amp; Saf. Code, § 116275, subd. (a)(1).</w:t>
      </w:r>
      <w:r w:rsidR="005635B0">
        <w:t>)</w:t>
      </w:r>
    </w:p>
    <w:p w14:paraId="3977870A" w14:textId="28AA58A3" w:rsidR="003F762B" w:rsidRDefault="003F762B" w:rsidP="00B4581F">
      <w:pPr>
        <w:spacing w:after="240"/>
        <w:ind w:left="720" w:hanging="360"/>
      </w:pPr>
      <w:r>
        <w:t xml:space="preserve">C.  </w:t>
      </w:r>
      <w:r w:rsidR="0081119F">
        <w:t>P</w:t>
      </w:r>
      <w:r w:rsidR="00B4581F">
        <w:t>ermits (Health &amp; Saf. Code, § 116</w:t>
      </w:r>
      <w:r w:rsidR="004A6C4D">
        <w:t>5</w:t>
      </w:r>
      <w:r w:rsidR="00B4581F">
        <w:t>25 et seq.)</w:t>
      </w:r>
    </w:p>
    <w:p w14:paraId="728C86CB" w14:textId="6D90A2E2" w:rsidR="00B4581F" w:rsidRDefault="00B4581F" w:rsidP="00B4581F">
      <w:pPr>
        <w:spacing w:after="240"/>
        <w:ind w:left="1080" w:hanging="360"/>
      </w:pPr>
      <w:r>
        <w:lastRenderedPageBreak/>
        <w:t>1.</w:t>
      </w:r>
      <w:r w:rsidR="004A6C4D">
        <w:t xml:space="preserve">  </w:t>
      </w:r>
      <w:r>
        <w:t xml:space="preserve"> A public water system cannot operate without a permit from the State Water Board</w:t>
      </w:r>
      <w:r w:rsidR="004A6C4D">
        <w:t>. (Health &amp; Saf. Code, § 116525.)</w:t>
      </w:r>
    </w:p>
    <w:p w14:paraId="2F757A72" w14:textId="48298AE8" w:rsidR="00856626" w:rsidRDefault="004A6C4D" w:rsidP="00553372">
      <w:pPr>
        <w:spacing w:after="240"/>
        <w:ind w:left="1080" w:hanging="360"/>
      </w:pPr>
      <w:r>
        <w:t>2.   The permit implements applicable requirements, and may include conditions for system improvements or for technical, financial or managerial capability</w:t>
      </w:r>
      <w:r w:rsidR="005635B0">
        <w:t xml:space="preserve"> </w:t>
      </w:r>
      <w:r w:rsidR="008C52B5" w:rsidRPr="00BD2D12">
        <w:rPr>
          <w:lang w:val="en"/>
        </w:rPr>
        <w:t>to ensure a reliable and adequate supply of water at all times that is pure, wholesome, potable, and does not endanger the health of consumers</w:t>
      </w:r>
      <w:r>
        <w:t>. (Health &amp; Saf. Code, § 116540.)</w:t>
      </w:r>
    </w:p>
    <w:p w14:paraId="76325FB6" w14:textId="22F3C118" w:rsidR="00893B44" w:rsidRDefault="00553372" w:rsidP="00B4581F">
      <w:pPr>
        <w:spacing w:after="240"/>
        <w:ind w:left="1080" w:hanging="360"/>
      </w:pPr>
      <w:r>
        <w:t>3</w:t>
      </w:r>
      <w:r w:rsidR="00893B44">
        <w:t xml:space="preserve">.   The State Water Board may suspend or revoke a permit for failure to comply with the permit or any requirements of the California Safe Drinking Water Act, implementing regulations, or State Water Board orders. (Health &amp; Saf. Code, § 116625.) </w:t>
      </w:r>
    </w:p>
    <w:p w14:paraId="0DDC5F9D" w14:textId="611BE0A4" w:rsidR="00553372" w:rsidRDefault="004A6C4D" w:rsidP="004A6C4D">
      <w:pPr>
        <w:spacing w:after="240"/>
        <w:ind w:left="720" w:hanging="360"/>
      </w:pPr>
      <w:r>
        <w:t xml:space="preserve">D.  </w:t>
      </w:r>
      <w:r w:rsidR="00553372">
        <w:t xml:space="preserve">Monitoring and Reporting. </w:t>
      </w:r>
      <w:r w:rsidR="00553372" w:rsidRPr="00553372">
        <w:t>The State Water Board may require monitoring and technical reporting as part of a permit application, as a condition of a permit, or in a separate order. (Health &amp; Saf. Code, § 116530.)</w:t>
      </w:r>
    </w:p>
    <w:p w14:paraId="6BA86FC6" w14:textId="3F074115" w:rsidR="004A6C4D" w:rsidRDefault="00553372" w:rsidP="004A6C4D">
      <w:pPr>
        <w:spacing w:after="240"/>
        <w:ind w:left="720" w:hanging="360"/>
      </w:pPr>
      <w:r>
        <w:t>E.</w:t>
      </w:r>
      <w:r>
        <w:tab/>
      </w:r>
      <w:r w:rsidR="004A6C4D">
        <w:t xml:space="preserve">Public Notification (Health &amp; Saf. </w:t>
      </w:r>
      <w:proofErr w:type="gramStart"/>
      <w:r w:rsidR="004A6C4D">
        <w:t>Code, § 1164</w:t>
      </w:r>
      <w:r w:rsidR="00C140E0">
        <w:t>5</w:t>
      </w:r>
      <w:r w:rsidR="004A6C4D">
        <w:t>0 et seq.)</w:t>
      </w:r>
      <w:proofErr w:type="gramEnd"/>
    </w:p>
    <w:p w14:paraId="73C23D6E" w14:textId="2A7DB4AD" w:rsidR="004A6C4D" w:rsidRDefault="004A6C4D" w:rsidP="004A6C4D">
      <w:pPr>
        <w:spacing w:after="240"/>
        <w:ind w:left="1080" w:hanging="360"/>
      </w:pPr>
      <w:r>
        <w:t>1.   A public water system must notify the State Water Board and users of violations of primary drinking water standards and other requirements. (Health &amp; Saf. Code, § 116</w:t>
      </w:r>
      <w:r w:rsidR="008C52B5">
        <w:t>450</w:t>
      </w:r>
      <w:r>
        <w:t>.)</w:t>
      </w:r>
    </w:p>
    <w:p w14:paraId="5D547833" w14:textId="4A9A9D22" w:rsidR="00893B44" w:rsidRDefault="004A6C4D" w:rsidP="00893B44">
      <w:pPr>
        <w:spacing w:after="240"/>
        <w:ind w:left="1080" w:hanging="360"/>
      </w:pPr>
      <w:r>
        <w:t>2</w:t>
      </w:r>
      <w:r w:rsidR="00893B44">
        <w:t>.   A public water system must prepare an annual consumer confidence report and distribute it to customers. (Health &amp; Saf. Code, § 116470.)</w:t>
      </w:r>
    </w:p>
    <w:p w14:paraId="69EF8319" w14:textId="58246EC9" w:rsidR="00893B44" w:rsidRDefault="00553372" w:rsidP="00893B44">
      <w:pPr>
        <w:spacing w:after="240"/>
        <w:ind w:left="720" w:hanging="360"/>
      </w:pPr>
      <w:r>
        <w:t>F</w:t>
      </w:r>
      <w:r w:rsidR="00893B44">
        <w:t xml:space="preserve">.  Enforcement. The </w:t>
      </w:r>
      <w:r w:rsidR="0081119F">
        <w:t xml:space="preserve">California </w:t>
      </w:r>
      <w:r w:rsidR="00893B44">
        <w:t>Safe Drinking Water Act includes substantial enforcement authority. (Health &amp; Saf. Code, §§ 116625, 116655 et seq.,  116725 et seq.)</w:t>
      </w:r>
    </w:p>
    <w:p w14:paraId="248538D7" w14:textId="61159559" w:rsidR="00893B44" w:rsidRDefault="00893B44" w:rsidP="00893B44">
      <w:pPr>
        <w:spacing w:after="240"/>
        <w:ind w:left="1080" w:hanging="360"/>
      </w:pPr>
      <w:r>
        <w:t xml:space="preserve">1.  The State Water Board may issue a citation </w:t>
      </w:r>
      <w:r w:rsidR="00856626">
        <w:t xml:space="preserve">or other order </w:t>
      </w:r>
      <w:r>
        <w:t>requiring correction of a violation. (Health &amp; Saf. Code,</w:t>
      </w:r>
      <w:r w:rsidR="00856626">
        <w:t xml:space="preserve"> §</w:t>
      </w:r>
      <w:r>
        <w:t>§ 116</w:t>
      </w:r>
      <w:r w:rsidR="00856626">
        <w:t>650, subd. (c), 116655</w:t>
      </w:r>
      <w:r>
        <w:t>.)</w:t>
      </w:r>
    </w:p>
    <w:p w14:paraId="25E25305" w14:textId="58E4EAE7" w:rsidR="00893B44" w:rsidRDefault="00893B44" w:rsidP="00893B44">
      <w:pPr>
        <w:spacing w:after="240"/>
        <w:ind w:left="1080" w:hanging="360"/>
      </w:pPr>
      <w:r>
        <w:t xml:space="preserve">2.  </w:t>
      </w:r>
      <w:r w:rsidR="00856626">
        <w:t>The State Water Board may issue a citation assessing a civil penalty. (</w:t>
      </w:r>
      <w:r>
        <w:t>Health &amp; Saf. Code, § 116</w:t>
      </w:r>
      <w:r w:rsidR="00856626">
        <w:t xml:space="preserve">650, </w:t>
      </w:r>
      <w:proofErr w:type="spellStart"/>
      <w:r w:rsidR="00856626">
        <w:t>subd</w:t>
      </w:r>
      <w:r w:rsidR="00ED2196">
        <w:t>s</w:t>
      </w:r>
      <w:proofErr w:type="spellEnd"/>
      <w:r w:rsidR="00856626">
        <w:t>. (</w:t>
      </w:r>
      <w:r w:rsidR="00ED2196">
        <w:t>d</w:t>
      </w:r>
      <w:r w:rsidR="00856626">
        <w:t>)</w:t>
      </w:r>
      <w:r w:rsidR="00ED2196">
        <w:t xml:space="preserve"> &amp; (e)</w:t>
      </w:r>
      <w:r>
        <w:t>.)</w:t>
      </w:r>
    </w:p>
    <w:p w14:paraId="17DED299" w14:textId="22D3B08C" w:rsidR="00856626" w:rsidRDefault="00856626" w:rsidP="00893B44">
      <w:pPr>
        <w:spacing w:after="240"/>
        <w:ind w:left="1080" w:hanging="360"/>
      </w:pPr>
      <w:r>
        <w:t xml:space="preserve">3. </w:t>
      </w:r>
      <w:r w:rsidR="00553372">
        <w:t xml:space="preserve"> </w:t>
      </w:r>
      <w:r>
        <w:t>Civil penalties may be imposed in court for violations, including violation of a citation or other order or operation with without a permit. (Health &amp; Saf. Code, § 116725.)</w:t>
      </w:r>
    </w:p>
    <w:p w14:paraId="5528DD6B" w14:textId="2B1BFD51" w:rsidR="004A6C4D" w:rsidRDefault="0081119F" w:rsidP="0081119F">
      <w:pPr>
        <w:spacing w:after="240"/>
        <w:ind w:left="720" w:hanging="360"/>
      </w:pPr>
      <w:r>
        <w:t xml:space="preserve">G. The </w:t>
      </w:r>
      <w:r w:rsidR="004A6C4D">
        <w:t xml:space="preserve">drinking water </w:t>
      </w:r>
      <w:r w:rsidR="000A45F6">
        <w:t xml:space="preserve">program was transferred to the State Water Board in 2014, along with related functions including the environmental laboratory </w:t>
      </w:r>
      <w:r w:rsidR="008C52B5">
        <w:t xml:space="preserve">accreditation </w:t>
      </w:r>
      <w:r w:rsidR="000A45F6">
        <w:t>program, operator certification, and funding for safe drinking water. (Health &amp; Saf. Code, § 116271.)</w:t>
      </w:r>
    </w:p>
    <w:p w14:paraId="2C1F9C08" w14:textId="406B9465" w:rsidR="006D2CD2" w:rsidRDefault="00553372" w:rsidP="006D2CD2">
      <w:pPr>
        <w:spacing w:after="240"/>
        <w:ind w:left="720" w:hanging="360"/>
      </w:pPr>
      <w:r>
        <w:lastRenderedPageBreak/>
        <w:t>H</w:t>
      </w:r>
      <w:r w:rsidR="004A6C4D">
        <w:t>.  The State Water Board’s administration of the Safe Drinking Water Act is supported by fees paid by public water systems. (Health &amp; Saf. Code, § 116565.)</w:t>
      </w:r>
    </w:p>
    <w:p w14:paraId="1390803A" w14:textId="4ECB553E" w:rsidR="0081119F" w:rsidRDefault="0081119F" w:rsidP="0081119F">
      <w:pPr>
        <w:spacing w:after="240"/>
        <w:ind w:left="720" w:hanging="360"/>
      </w:pPr>
      <w:r>
        <w:t>I.</w:t>
      </w:r>
      <w:r>
        <w:tab/>
        <w:t xml:space="preserve">Legislation enacted in 2015 adds authority to require system consolidation or extension of service where a public water system or state small system (see Health &amp; Saf. </w:t>
      </w:r>
      <w:proofErr w:type="gramStart"/>
      <w:r>
        <w:t>Code, § 11627</w:t>
      </w:r>
      <w:r w:rsidR="00C140E0">
        <w:t>5</w:t>
      </w:r>
      <w:r>
        <w:t xml:space="preserve">, </w:t>
      </w:r>
      <w:proofErr w:type="spellStart"/>
      <w:r>
        <w:t>subd</w:t>
      </w:r>
      <w:proofErr w:type="spellEnd"/>
      <w:r>
        <w:t>.</w:t>
      </w:r>
      <w:proofErr w:type="gramEnd"/>
      <w:r>
        <w:t xml:space="preserve"> (n) [</w:t>
      </w:r>
      <w:proofErr w:type="gramStart"/>
      <w:r>
        <w:t>at</w:t>
      </w:r>
      <w:proofErr w:type="gramEnd"/>
      <w:r>
        <w:t xml:space="preserve"> least five service connections]) serving a disadvantage</w:t>
      </w:r>
      <w:r w:rsidR="00C140E0">
        <w:t>d</w:t>
      </w:r>
      <w:r>
        <w:t xml:space="preserve"> community consistently fails to provide an adequate supply of safe drinking water. (Health &amp; Saf. Code, § 116681-116684.) Legislation enacted in 2016 adds authority to appoint an administrator to provide administrative and managerial services where consolidation or extension of services is infeasible or inappropriate. (Id., § 116686.)</w:t>
      </w:r>
    </w:p>
    <w:p w14:paraId="76300070" w14:textId="1AA53DEB" w:rsidR="005635B0" w:rsidRDefault="005635B0" w:rsidP="0081119F">
      <w:pPr>
        <w:spacing w:after="240"/>
        <w:ind w:left="720" w:hanging="360"/>
      </w:pPr>
      <w:r>
        <w:t>J.</w:t>
      </w:r>
      <w:r>
        <w:tab/>
        <w:t xml:space="preserve">Legislation enacted in 2016 is intended to avoid creation of new public </w:t>
      </w:r>
      <w:proofErr w:type="spellStart"/>
      <w:r>
        <w:t>public</w:t>
      </w:r>
      <w:proofErr w:type="spellEnd"/>
      <w:r>
        <w:t xml:space="preserve"> water systems that lack technical, managerial or financial capability and to avoid approval of new development lacking a reliable water supply. (Stats. 2016, </w:t>
      </w:r>
      <w:proofErr w:type="spellStart"/>
      <w:r>
        <w:t>ch.</w:t>
      </w:r>
      <w:proofErr w:type="spellEnd"/>
      <w:r>
        <w:t xml:space="preserve"> 843; see Health &amp; Saf. Code, §§ 116527. 116540; Wat Code, § 106.4.)</w:t>
      </w:r>
    </w:p>
    <w:p w14:paraId="01FA186A" w14:textId="77777777" w:rsidR="006D2CD2" w:rsidRDefault="006D2CD2" w:rsidP="006D2CD2">
      <w:pPr>
        <w:pStyle w:val="List3"/>
        <w:ind w:left="360"/>
        <w:rPr>
          <w:rFonts w:ascii="Arial" w:hAnsi="Arial" w:cs="Arial"/>
        </w:rPr>
      </w:pPr>
      <w:r>
        <w:rPr>
          <w:rFonts w:ascii="Arial" w:hAnsi="Arial" w:cs="Arial"/>
        </w:rPr>
        <w:t>II.</w:t>
      </w:r>
      <w:r>
        <w:rPr>
          <w:rFonts w:ascii="Arial" w:hAnsi="Arial" w:cs="Arial"/>
        </w:rPr>
        <w:tab/>
        <w:t>Financial Assistance</w:t>
      </w:r>
    </w:p>
    <w:p w14:paraId="4CCD2274" w14:textId="77777777" w:rsidR="006D2CD2" w:rsidRDefault="006D2CD2" w:rsidP="006D2CD2">
      <w:pPr>
        <w:pStyle w:val="List3"/>
        <w:ind w:left="360"/>
        <w:rPr>
          <w:rFonts w:ascii="Arial" w:hAnsi="Arial" w:cs="Arial"/>
        </w:rPr>
      </w:pPr>
    </w:p>
    <w:p w14:paraId="3948207F" w14:textId="2DC3203E" w:rsidR="006D2CD2" w:rsidRDefault="006D2CD2" w:rsidP="006D2CD2">
      <w:pPr>
        <w:pStyle w:val="List3"/>
        <w:ind w:left="720"/>
        <w:rPr>
          <w:rFonts w:ascii="Arial" w:hAnsi="Arial" w:cs="Arial"/>
        </w:rPr>
      </w:pPr>
      <w:r>
        <w:rPr>
          <w:rFonts w:ascii="Arial" w:hAnsi="Arial" w:cs="Arial"/>
        </w:rPr>
        <w:t xml:space="preserve">A. </w:t>
      </w:r>
      <w:r>
        <w:rPr>
          <w:rFonts w:ascii="Arial" w:hAnsi="Arial" w:cs="Arial"/>
        </w:rPr>
        <w:tab/>
      </w:r>
      <w:r w:rsidR="003C5C4E" w:rsidRPr="003C5C4E">
        <w:rPr>
          <w:rFonts w:ascii="Arial" w:hAnsi="Arial" w:cs="Arial"/>
        </w:rPr>
        <w:t>Drinking Water State Revolving Fund (DWSRF)</w:t>
      </w:r>
      <w:r w:rsidR="003C5C4E">
        <w:rPr>
          <w:rFonts w:ascii="Arial" w:hAnsi="Arial" w:cs="Arial"/>
        </w:rPr>
        <w:t xml:space="preserve"> (</w:t>
      </w:r>
      <w:r w:rsidR="003C5C4E" w:rsidRPr="003C5C4E">
        <w:rPr>
          <w:rFonts w:ascii="Arial" w:hAnsi="Arial" w:cs="Arial"/>
        </w:rPr>
        <w:t>Health &amp; Saf</w:t>
      </w:r>
      <w:r w:rsidR="003C5C4E">
        <w:rPr>
          <w:rFonts w:ascii="Arial" w:hAnsi="Arial" w:cs="Arial"/>
        </w:rPr>
        <w:t>.</w:t>
      </w:r>
      <w:r w:rsidR="003C5C4E" w:rsidRPr="003C5C4E">
        <w:rPr>
          <w:rFonts w:ascii="Arial" w:hAnsi="Arial" w:cs="Arial"/>
        </w:rPr>
        <w:t xml:space="preserve"> Code, </w:t>
      </w:r>
      <w:r w:rsidR="003C5C4E">
        <w:rPr>
          <w:rFonts w:ascii="Arial" w:hAnsi="Arial" w:cs="Arial"/>
        </w:rPr>
        <w:t>§ 116760 et seq.</w:t>
      </w:r>
      <w:r w:rsidR="00281660">
        <w:rPr>
          <w:rFonts w:ascii="Arial" w:hAnsi="Arial" w:cs="Arial"/>
        </w:rPr>
        <w:t>)</w:t>
      </w:r>
      <w:r w:rsidR="003C5C4E">
        <w:rPr>
          <w:rFonts w:ascii="Arial" w:hAnsi="Arial" w:cs="Arial"/>
        </w:rPr>
        <w:t xml:space="preserve"> </w:t>
      </w:r>
    </w:p>
    <w:p w14:paraId="1F138174" w14:textId="77777777" w:rsidR="006D2CD2" w:rsidRDefault="006D2CD2" w:rsidP="006D2CD2">
      <w:pPr>
        <w:pStyle w:val="List3"/>
        <w:ind w:left="720"/>
        <w:rPr>
          <w:rFonts w:ascii="Arial" w:hAnsi="Arial" w:cs="Arial"/>
        </w:rPr>
      </w:pPr>
    </w:p>
    <w:p w14:paraId="4A5A0666" w14:textId="19291D23" w:rsidR="006D2CD2" w:rsidRDefault="006D2CD2" w:rsidP="006D2CD2">
      <w:pPr>
        <w:spacing w:after="240"/>
        <w:ind w:left="720" w:hanging="360"/>
      </w:pPr>
      <w:bookmarkStart w:id="0" w:name="_Hlk30091439"/>
      <w:r>
        <w:t xml:space="preserve">B.  </w:t>
      </w:r>
      <w:r w:rsidR="00281660">
        <w:t xml:space="preserve">Bond </w:t>
      </w:r>
      <w:bookmarkEnd w:id="0"/>
      <w:r w:rsidR="00281660">
        <w:t>Acts. (Pub. Resources Code, § 80140 (Proposition 68.); Wat. Code, § 79724 (Proposition 1.)</w:t>
      </w:r>
    </w:p>
    <w:p w14:paraId="62E8CA8A" w14:textId="0144E66B" w:rsidR="00263DDC" w:rsidRDefault="00263DDC" w:rsidP="00263DDC">
      <w:pPr>
        <w:spacing w:after="240"/>
        <w:ind w:left="720" w:hanging="360"/>
      </w:pPr>
      <w:r>
        <w:t>C. Cleanup and Abatement Account (Wat. Code, § 13440 et seq.)</w:t>
      </w:r>
    </w:p>
    <w:p w14:paraId="7111E410" w14:textId="1C4EE248" w:rsidR="006D2CD2" w:rsidRDefault="00263DDC" w:rsidP="00263DDC">
      <w:pPr>
        <w:spacing w:after="240"/>
        <w:ind w:left="720" w:hanging="360"/>
      </w:pPr>
      <w:r>
        <w:t>D</w:t>
      </w:r>
      <w:r w:rsidR="00281660">
        <w:t xml:space="preserve">.  </w:t>
      </w:r>
      <w:r w:rsidR="00281660" w:rsidRPr="00281660">
        <w:t>Drinking Water for Schools</w:t>
      </w:r>
      <w:r>
        <w:t xml:space="preserve"> (Health &amp; Saf. Code, § 116276.)</w:t>
      </w:r>
    </w:p>
    <w:p w14:paraId="64D95185" w14:textId="77777777" w:rsidR="00263DDC" w:rsidRDefault="00263DDC" w:rsidP="003C5C4E">
      <w:pPr>
        <w:pStyle w:val="List3"/>
        <w:ind w:left="360"/>
        <w:rPr>
          <w:rFonts w:ascii="Arial" w:hAnsi="Arial" w:cs="Arial"/>
        </w:rPr>
      </w:pPr>
      <w:r>
        <w:rPr>
          <w:rFonts w:ascii="Arial" w:hAnsi="Arial" w:cs="Arial"/>
        </w:rPr>
        <w:t xml:space="preserve">III. Senate Bill 200 (Stats 2019, </w:t>
      </w:r>
      <w:proofErr w:type="spellStart"/>
      <w:r>
        <w:rPr>
          <w:rFonts w:ascii="Arial" w:hAnsi="Arial" w:cs="Arial"/>
        </w:rPr>
        <w:t>ch.</w:t>
      </w:r>
      <w:proofErr w:type="spellEnd"/>
      <w:r>
        <w:rPr>
          <w:rFonts w:ascii="Arial" w:hAnsi="Arial" w:cs="Arial"/>
        </w:rPr>
        <w:t xml:space="preserve"> 120.) </w:t>
      </w:r>
    </w:p>
    <w:p w14:paraId="64C8124B" w14:textId="6A72AD26" w:rsidR="00263DDC" w:rsidRDefault="00263DDC" w:rsidP="003C5C4E">
      <w:pPr>
        <w:pStyle w:val="List3"/>
        <w:ind w:left="360"/>
        <w:rPr>
          <w:rFonts w:ascii="Arial" w:hAnsi="Arial" w:cs="Arial"/>
        </w:rPr>
      </w:pPr>
    </w:p>
    <w:p w14:paraId="4C69737B" w14:textId="19CF9070" w:rsidR="00263DDC" w:rsidRPr="001A7A95" w:rsidRDefault="00263DDC" w:rsidP="00856F80">
      <w:pPr>
        <w:pStyle w:val="List3"/>
        <w:ind w:left="720"/>
        <w:rPr>
          <w:rFonts w:ascii="Arial" w:hAnsi="Arial" w:cs="Arial"/>
        </w:rPr>
      </w:pPr>
      <w:r>
        <w:rPr>
          <w:rFonts w:ascii="Arial" w:hAnsi="Arial" w:cs="Arial"/>
        </w:rPr>
        <w:t>A.</w:t>
      </w:r>
      <w:r>
        <w:rPr>
          <w:rFonts w:ascii="Arial" w:hAnsi="Arial" w:cs="Arial"/>
        </w:rPr>
        <w:tab/>
        <w:t>Establishes Safe and Affordable Drinking Water Fund</w:t>
      </w:r>
      <w:r w:rsidR="00856F80">
        <w:rPr>
          <w:rFonts w:ascii="Arial" w:hAnsi="Arial" w:cs="Arial"/>
        </w:rPr>
        <w:t xml:space="preserve"> (Healt</w:t>
      </w:r>
      <w:r w:rsidR="001A7A95">
        <w:rPr>
          <w:rFonts w:ascii="Arial" w:hAnsi="Arial" w:cs="Arial"/>
        </w:rPr>
        <w:t xml:space="preserve">h &amp; Saf. Code, § 116766 et seq.; see generally London et al., </w:t>
      </w:r>
      <w:r w:rsidR="001A7A95">
        <w:rPr>
          <w:rFonts w:ascii="Arial" w:hAnsi="Arial" w:cs="Arial"/>
          <w:i/>
        </w:rPr>
        <w:t>The Struggle for Water Justice in California’s San Joaquin Valley: A Focus on Disadvantaged Unincorporated Communities</w:t>
      </w:r>
      <w:r w:rsidR="001A7A95">
        <w:rPr>
          <w:rFonts w:ascii="Arial" w:hAnsi="Arial" w:cs="Arial"/>
        </w:rPr>
        <w:t xml:space="preserve">  (Feb. 2018) at p</w:t>
      </w:r>
      <w:r w:rsidR="009D53DF">
        <w:rPr>
          <w:rFonts w:ascii="Arial" w:hAnsi="Arial" w:cs="Arial"/>
        </w:rPr>
        <w:t>p</w:t>
      </w:r>
      <w:r w:rsidR="001A7A95">
        <w:rPr>
          <w:rFonts w:ascii="Arial" w:hAnsi="Arial" w:cs="Arial"/>
        </w:rPr>
        <w:t>. 43</w:t>
      </w:r>
      <w:r w:rsidR="009D53DF">
        <w:rPr>
          <w:rFonts w:ascii="Arial" w:hAnsi="Arial" w:cs="Arial"/>
        </w:rPr>
        <w:t>, 45</w:t>
      </w:r>
      <w:r w:rsidR="001A7A95">
        <w:rPr>
          <w:rFonts w:ascii="Arial" w:hAnsi="Arial" w:cs="Arial"/>
        </w:rPr>
        <w:t xml:space="preserve"> [most significant funding gap for drinking water needs of disadvantaged unincorporated communities is funding </w:t>
      </w:r>
      <w:r w:rsidR="009D53DF">
        <w:rPr>
          <w:rFonts w:ascii="Arial" w:hAnsi="Arial" w:cs="Arial"/>
        </w:rPr>
        <w:t xml:space="preserve">for operation and maintenance] </w:t>
      </w:r>
      <w:hyperlink r:id="rId9" w:history="1">
        <w:r w:rsidR="009D53DF" w:rsidRPr="00C60663">
          <w:rPr>
            <w:rStyle w:val="Hyperlink"/>
            <w:rFonts w:ascii="Arial" w:hAnsi="Arial" w:cs="Arial"/>
          </w:rPr>
          <w:t>https://regionalchange.ucdavis.edu/publication/water-justice</w:t>
        </w:r>
      </w:hyperlink>
      <w:r w:rsidR="009D53DF">
        <w:rPr>
          <w:rFonts w:ascii="Arial" w:hAnsi="Arial" w:cs="Arial"/>
        </w:rPr>
        <w:t xml:space="preserve">.) </w:t>
      </w:r>
    </w:p>
    <w:p w14:paraId="45D34983" w14:textId="55B807C5" w:rsidR="00856F80" w:rsidRDefault="00856F80" w:rsidP="00856F80">
      <w:pPr>
        <w:pStyle w:val="List3"/>
        <w:ind w:left="360"/>
        <w:rPr>
          <w:rFonts w:ascii="Arial" w:hAnsi="Arial" w:cs="Arial"/>
        </w:rPr>
      </w:pPr>
    </w:p>
    <w:p w14:paraId="100F00F6" w14:textId="2EAA5BD8" w:rsidR="00856F80" w:rsidRDefault="00856F80" w:rsidP="00150102">
      <w:pPr>
        <w:pStyle w:val="List3"/>
        <w:ind w:left="720"/>
        <w:rPr>
          <w:rFonts w:ascii="Arial" w:hAnsi="Arial" w:cs="Arial"/>
        </w:rPr>
      </w:pPr>
      <w:r>
        <w:rPr>
          <w:rFonts w:ascii="Arial" w:hAnsi="Arial" w:cs="Arial"/>
        </w:rPr>
        <w:t>B.</w:t>
      </w:r>
      <w:r>
        <w:rPr>
          <w:rFonts w:ascii="Arial" w:hAnsi="Arial" w:cs="Arial"/>
        </w:rPr>
        <w:tab/>
        <w:t>Requires development of policy for development of fund expenditure plan by July 1, 2020, and to adopt a fund expenditure plan annually. (Health &amp; Saf. Code, § 116768 et seq.)</w:t>
      </w:r>
    </w:p>
    <w:p w14:paraId="56329A4B" w14:textId="6E561213" w:rsidR="00856F80" w:rsidRDefault="00856F80" w:rsidP="00150102">
      <w:pPr>
        <w:pStyle w:val="List3"/>
        <w:ind w:left="720"/>
        <w:rPr>
          <w:rFonts w:ascii="Arial" w:hAnsi="Arial" w:cs="Arial"/>
        </w:rPr>
      </w:pPr>
    </w:p>
    <w:p w14:paraId="77005324" w14:textId="48127DDB" w:rsidR="00856F80" w:rsidRDefault="00856F80" w:rsidP="00150102">
      <w:pPr>
        <w:pStyle w:val="List3"/>
        <w:ind w:left="720"/>
        <w:rPr>
          <w:rFonts w:ascii="Arial" w:hAnsi="Arial" w:cs="Arial"/>
        </w:rPr>
      </w:pPr>
      <w:r>
        <w:rPr>
          <w:rFonts w:ascii="Arial" w:hAnsi="Arial" w:cs="Arial"/>
        </w:rPr>
        <w:lastRenderedPageBreak/>
        <w:t>C.</w:t>
      </w:r>
      <w:r>
        <w:rPr>
          <w:rFonts w:ascii="Arial" w:hAnsi="Arial" w:cs="Arial"/>
        </w:rPr>
        <w:tab/>
        <w:t xml:space="preserve">Requires State Water Board to develop a map of aquifers at high risk of containing contaminants exceeding safe drinking water standards. (Health </w:t>
      </w:r>
      <w:r w:rsidR="005B72A9">
        <w:rPr>
          <w:rFonts w:ascii="Arial" w:hAnsi="Arial" w:cs="Arial"/>
        </w:rPr>
        <w:t>&amp;</w:t>
      </w:r>
      <w:r>
        <w:rPr>
          <w:rFonts w:ascii="Arial" w:hAnsi="Arial" w:cs="Arial"/>
        </w:rPr>
        <w:t xml:space="preserve"> Saf. Code, § 116772.)</w:t>
      </w:r>
    </w:p>
    <w:p w14:paraId="08BFBEF3" w14:textId="3F0D1511" w:rsidR="00263DDC" w:rsidRDefault="00263DDC" w:rsidP="00150102">
      <w:pPr>
        <w:pStyle w:val="List3"/>
        <w:ind w:left="720"/>
        <w:rPr>
          <w:rFonts w:ascii="Arial" w:hAnsi="Arial" w:cs="Arial"/>
        </w:rPr>
      </w:pPr>
    </w:p>
    <w:p w14:paraId="73EE0E21" w14:textId="7C31511D" w:rsidR="00263DDC" w:rsidRDefault="00856F80" w:rsidP="00150102">
      <w:pPr>
        <w:pStyle w:val="List3"/>
        <w:ind w:left="720"/>
        <w:rPr>
          <w:rFonts w:ascii="Arial" w:hAnsi="Arial" w:cs="Arial"/>
        </w:rPr>
      </w:pPr>
      <w:r>
        <w:rPr>
          <w:rFonts w:ascii="Arial" w:hAnsi="Arial" w:cs="Arial"/>
        </w:rPr>
        <w:t>D</w:t>
      </w:r>
      <w:r w:rsidR="00263DDC">
        <w:rPr>
          <w:rFonts w:ascii="Arial" w:hAnsi="Arial" w:cs="Arial"/>
        </w:rPr>
        <w:t>.</w:t>
      </w:r>
      <w:r w:rsidR="00263DDC">
        <w:rPr>
          <w:rFonts w:ascii="Arial" w:hAnsi="Arial" w:cs="Arial"/>
        </w:rPr>
        <w:tab/>
      </w:r>
      <w:r>
        <w:rPr>
          <w:rFonts w:ascii="Arial" w:hAnsi="Arial" w:cs="Arial"/>
        </w:rPr>
        <w:t xml:space="preserve">Expands </w:t>
      </w:r>
      <w:r w:rsidR="00263DDC">
        <w:rPr>
          <w:rFonts w:ascii="Arial" w:hAnsi="Arial" w:cs="Arial"/>
        </w:rPr>
        <w:t xml:space="preserve">administrator authority. (See also </w:t>
      </w:r>
      <w:r>
        <w:rPr>
          <w:rFonts w:ascii="Arial" w:hAnsi="Arial" w:cs="Arial"/>
        </w:rPr>
        <w:t xml:space="preserve">Stats. 2018, </w:t>
      </w:r>
      <w:proofErr w:type="spellStart"/>
      <w:r>
        <w:rPr>
          <w:rFonts w:ascii="Arial" w:hAnsi="Arial" w:cs="Arial"/>
        </w:rPr>
        <w:t>ch.</w:t>
      </w:r>
      <w:proofErr w:type="spellEnd"/>
      <w:r>
        <w:rPr>
          <w:rFonts w:ascii="Arial" w:hAnsi="Arial" w:cs="Arial"/>
        </w:rPr>
        <w:t xml:space="preserve"> 687, § 4)</w:t>
      </w:r>
    </w:p>
    <w:p w14:paraId="15322977" w14:textId="406D7CB1" w:rsidR="00856F80" w:rsidRDefault="00856F80" w:rsidP="00856F80">
      <w:pPr>
        <w:pStyle w:val="List3"/>
        <w:ind w:left="360"/>
        <w:rPr>
          <w:rFonts w:ascii="Arial" w:hAnsi="Arial" w:cs="Arial"/>
        </w:rPr>
      </w:pPr>
    </w:p>
    <w:p w14:paraId="27C668F4" w14:textId="022FD66D" w:rsidR="003C5C4E" w:rsidRDefault="003C5C4E" w:rsidP="00263DDC">
      <w:pPr>
        <w:pStyle w:val="List3"/>
        <w:ind w:left="360"/>
        <w:rPr>
          <w:rFonts w:ascii="Arial" w:hAnsi="Arial" w:cs="Arial"/>
        </w:rPr>
      </w:pPr>
      <w:r>
        <w:rPr>
          <w:rFonts w:ascii="Arial" w:hAnsi="Arial" w:cs="Arial"/>
        </w:rPr>
        <w:t>IV.</w:t>
      </w:r>
      <w:r>
        <w:rPr>
          <w:rFonts w:ascii="Arial" w:hAnsi="Arial" w:cs="Arial"/>
        </w:rPr>
        <w:tab/>
        <w:t>Relationship</w:t>
      </w:r>
      <w:r w:rsidR="0081119F">
        <w:rPr>
          <w:rFonts w:ascii="Arial" w:hAnsi="Arial" w:cs="Arial"/>
        </w:rPr>
        <w:t xml:space="preserve"> of the California Safe Drinking Water Act </w:t>
      </w:r>
      <w:r>
        <w:rPr>
          <w:rFonts w:ascii="Arial" w:hAnsi="Arial" w:cs="Arial"/>
        </w:rPr>
        <w:t>to federal Safe Drinking Water Act (</w:t>
      </w:r>
      <w:r w:rsidR="00281660">
        <w:rPr>
          <w:rFonts w:ascii="Arial" w:hAnsi="Arial" w:cs="Arial"/>
        </w:rPr>
        <w:t>42 U.S.C. § 300f et seq.</w:t>
      </w:r>
      <w:r w:rsidR="00C63CBC">
        <w:rPr>
          <w:rFonts w:ascii="Arial" w:hAnsi="Arial" w:cs="Arial"/>
        </w:rPr>
        <w:t xml:space="preserve">; (See generally Salzman, </w:t>
      </w:r>
      <w:r w:rsidR="00C63CBC" w:rsidRPr="00C63CBC">
        <w:rPr>
          <w:rFonts w:ascii="Arial" w:hAnsi="Arial" w:cs="Arial"/>
          <w:i/>
          <w:iCs/>
        </w:rPr>
        <w:t>The Past, Present and Future of the Safe Drinking Water Act</w:t>
      </w:r>
      <w:r w:rsidR="00C63CBC">
        <w:rPr>
          <w:rFonts w:ascii="Arial" w:hAnsi="Arial" w:cs="Arial"/>
        </w:rPr>
        <w:t xml:space="preserve"> (2019) </w:t>
      </w:r>
      <w:hyperlink r:id="rId10" w:history="1">
        <w:r w:rsidR="00C63CBC" w:rsidRPr="001023D5">
          <w:rPr>
            <w:rStyle w:val="Hyperlink"/>
            <w:rFonts w:ascii="Arial" w:hAnsi="Arial" w:cs="Arial"/>
          </w:rPr>
          <w:t>https://escholarship.org/uc/item/06b035kv</w:t>
        </w:r>
      </w:hyperlink>
      <w:r w:rsidR="00281660">
        <w:rPr>
          <w:rFonts w:ascii="Arial" w:hAnsi="Arial" w:cs="Arial"/>
        </w:rPr>
        <w:t>)</w:t>
      </w:r>
    </w:p>
    <w:p w14:paraId="70D8B12F" w14:textId="77777777" w:rsidR="00281660" w:rsidRDefault="00281660" w:rsidP="003C5C4E">
      <w:pPr>
        <w:pStyle w:val="List3"/>
        <w:ind w:left="360"/>
        <w:rPr>
          <w:rFonts w:ascii="Arial" w:hAnsi="Arial" w:cs="Arial"/>
        </w:rPr>
      </w:pPr>
    </w:p>
    <w:p w14:paraId="57373281" w14:textId="55C02458" w:rsidR="00150102" w:rsidRDefault="00A06BE9" w:rsidP="00281660">
      <w:pPr>
        <w:pStyle w:val="List3"/>
        <w:ind w:left="720"/>
        <w:rPr>
          <w:rFonts w:ascii="Arial" w:hAnsi="Arial" w:cs="Arial"/>
        </w:rPr>
      </w:pPr>
      <w:r>
        <w:rPr>
          <w:rFonts w:ascii="Arial" w:hAnsi="Arial" w:cs="Arial"/>
        </w:rPr>
        <w:t xml:space="preserve"> </w:t>
      </w:r>
      <w:r w:rsidR="00281660">
        <w:rPr>
          <w:rFonts w:ascii="Arial" w:hAnsi="Arial" w:cs="Arial"/>
        </w:rPr>
        <w:t>A.</w:t>
      </w:r>
      <w:r w:rsidR="00150102">
        <w:rPr>
          <w:rFonts w:ascii="Arial" w:hAnsi="Arial" w:cs="Arial"/>
        </w:rPr>
        <w:tab/>
      </w:r>
      <w:r w:rsidR="00281660">
        <w:rPr>
          <w:rFonts w:ascii="Arial" w:hAnsi="Arial" w:cs="Arial"/>
        </w:rPr>
        <w:t>Regulation of Public Water Systems</w:t>
      </w:r>
      <w:r w:rsidR="00150102">
        <w:rPr>
          <w:rFonts w:ascii="Arial" w:hAnsi="Arial" w:cs="Arial"/>
        </w:rPr>
        <w:t>.</w:t>
      </w:r>
      <w:r w:rsidR="00D932AA">
        <w:rPr>
          <w:rFonts w:ascii="Arial" w:hAnsi="Arial" w:cs="Arial"/>
        </w:rPr>
        <w:t xml:space="preserve"> </w:t>
      </w:r>
    </w:p>
    <w:p w14:paraId="29971588" w14:textId="34289861" w:rsidR="00C63CBC" w:rsidRDefault="00C63CBC" w:rsidP="00281660">
      <w:pPr>
        <w:pStyle w:val="List3"/>
        <w:ind w:left="720"/>
        <w:rPr>
          <w:rFonts w:ascii="Arial" w:hAnsi="Arial" w:cs="Arial"/>
        </w:rPr>
      </w:pPr>
    </w:p>
    <w:p w14:paraId="146A8C9E" w14:textId="307BBEA8" w:rsidR="00C63CBC" w:rsidRDefault="00C63CBC" w:rsidP="00C63CBC">
      <w:pPr>
        <w:pStyle w:val="List3"/>
        <w:rPr>
          <w:rFonts w:ascii="Arial" w:hAnsi="Arial" w:cs="Arial"/>
        </w:rPr>
      </w:pPr>
      <w:r>
        <w:rPr>
          <w:rFonts w:ascii="Arial" w:hAnsi="Arial" w:cs="Arial"/>
        </w:rPr>
        <w:t xml:space="preserve">1.  </w:t>
      </w:r>
      <w:r w:rsidR="0081119F">
        <w:rPr>
          <w:rFonts w:ascii="Arial" w:hAnsi="Arial" w:cs="Arial"/>
        </w:rPr>
        <w:t>USEPA adopts n</w:t>
      </w:r>
      <w:r>
        <w:rPr>
          <w:rFonts w:ascii="Arial" w:hAnsi="Arial" w:cs="Arial"/>
        </w:rPr>
        <w:t>ational drinking water regulations, including primary drinking water standards</w:t>
      </w:r>
      <w:r w:rsidR="004A7B1A">
        <w:rPr>
          <w:rFonts w:ascii="Arial" w:hAnsi="Arial" w:cs="Arial"/>
        </w:rPr>
        <w:t xml:space="preserve"> (42 U.S.C. § 300g-1)</w:t>
      </w:r>
      <w:r w:rsidR="006D1107">
        <w:rPr>
          <w:rFonts w:ascii="Arial" w:hAnsi="Arial" w:cs="Arial"/>
        </w:rPr>
        <w:t xml:space="preserve"> and requirements for consumer confidence reports</w:t>
      </w:r>
      <w:r>
        <w:rPr>
          <w:rFonts w:ascii="Arial" w:hAnsi="Arial" w:cs="Arial"/>
        </w:rPr>
        <w:t>. (</w:t>
      </w:r>
      <w:r w:rsidR="004A7B1A">
        <w:rPr>
          <w:rFonts w:ascii="Arial" w:hAnsi="Arial" w:cs="Arial"/>
          <w:i/>
        </w:rPr>
        <w:t>Id</w:t>
      </w:r>
      <w:r w:rsidR="004A7B1A">
        <w:rPr>
          <w:rFonts w:ascii="Arial" w:hAnsi="Arial" w:cs="Arial"/>
        </w:rPr>
        <w:t>.</w:t>
      </w:r>
      <w:r w:rsidR="004A7B1A">
        <w:rPr>
          <w:rFonts w:ascii="Arial" w:hAnsi="Arial" w:cs="Arial"/>
          <w:i/>
        </w:rPr>
        <w:t xml:space="preserve"> </w:t>
      </w:r>
      <w:r>
        <w:rPr>
          <w:rFonts w:ascii="Arial" w:hAnsi="Arial" w:cs="Arial"/>
        </w:rPr>
        <w:t>§ 300g-</w:t>
      </w:r>
      <w:r w:rsidR="004A7B1A">
        <w:rPr>
          <w:rFonts w:ascii="Arial" w:hAnsi="Arial" w:cs="Arial"/>
        </w:rPr>
        <w:t>3</w:t>
      </w:r>
      <w:bookmarkStart w:id="1" w:name="_GoBack"/>
      <w:bookmarkEnd w:id="1"/>
      <w:r>
        <w:rPr>
          <w:rFonts w:ascii="Arial" w:hAnsi="Arial" w:cs="Arial"/>
        </w:rPr>
        <w:t>.)</w:t>
      </w:r>
    </w:p>
    <w:p w14:paraId="31592D38" w14:textId="4528966F" w:rsidR="00C63CBC" w:rsidRDefault="00C63CBC" w:rsidP="00C63CBC">
      <w:pPr>
        <w:pStyle w:val="List3"/>
        <w:rPr>
          <w:rFonts w:ascii="Arial" w:hAnsi="Arial" w:cs="Arial"/>
        </w:rPr>
      </w:pPr>
    </w:p>
    <w:p w14:paraId="1BADF297" w14:textId="02899847" w:rsidR="00C63CBC" w:rsidRDefault="006D1107" w:rsidP="00C63CBC">
      <w:pPr>
        <w:pStyle w:val="List3"/>
        <w:rPr>
          <w:rFonts w:ascii="Arial" w:hAnsi="Arial" w:cs="Arial"/>
        </w:rPr>
      </w:pPr>
      <w:r>
        <w:rPr>
          <w:rFonts w:ascii="Arial" w:hAnsi="Arial" w:cs="Arial"/>
        </w:rPr>
        <w:t>2</w:t>
      </w:r>
      <w:r w:rsidR="00C63CBC">
        <w:rPr>
          <w:rFonts w:ascii="Arial" w:hAnsi="Arial" w:cs="Arial"/>
        </w:rPr>
        <w:t>.</w:t>
      </w:r>
      <w:r w:rsidR="00C63CBC" w:rsidRPr="00C63CBC">
        <w:rPr>
          <w:rFonts w:ascii="Arial" w:hAnsi="Arial" w:cs="Arial"/>
        </w:rPr>
        <w:t xml:space="preserve"> </w:t>
      </w:r>
      <w:r w:rsidR="00C63CBC">
        <w:rPr>
          <w:rFonts w:ascii="Arial" w:hAnsi="Arial" w:cs="Arial"/>
        </w:rPr>
        <w:t xml:space="preserve"> Enforcement. </w:t>
      </w:r>
    </w:p>
    <w:p w14:paraId="73A38F44" w14:textId="77777777" w:rsidR="0081119F" w:rsidRDefault="0081119F" w:rsidP="00C63CBC">
      <w:pPr>
        <w:pStyle w:val="List3"/>
        <w:rPr>
          <w:rFonts w:ascii="Arial" w:hAnsi="Arial" w:cs="Arial"/>
        </w:rPr>
      </w:pPr>
    </w:p>
    <w:p w14:paraId="0705EE90" w14:textId="4076909F" w:rsidR="006D1107" w:rsidRDefault="006D1107" w:rsidP="006D1107">
      <w:pPr>
        <w:spacing w:after="240"/>
        <w:ind w:left="1440" w:hanging="360"/>
      </w:pPr>
      <w:r>
        <w:t>a.  USEPA enforcement. (42 U.S.C. § 300</w:t>
      </w:r>
      <w:r w:rsidR="00ED2196">
        <w:t>g</w:t>
      </w:r>
      <w:r>
        <w:t>-</w:t>
      </w:r>
      <w:r w:rsidR="00ED2196">
        <w:t>3</w:t>
      </w:r>
      <w:r>
        <w:t>.)</w:t>
      </w:r>
    </w:p>
    <w:p w14:paraId="099DB793" w14:textId="06F5C4CE" w:rsidR="006D1107" w:rsidRDefault="006D1107" w:rsidP="006D1107">
      <w:pPr>
        <w:spacing w:after="240"/>
        <w:ind w:left="1080" w:hanging="360"/>
      </w:pPr>
      <w:r>
        <w:tab/>
        <w:t>b.  Citizen suits. (42. U.S.C. § 300j-8.)</w:t>
      </w:r>
    </w:p>
    <w:p w14:paraId="06DC3EAF" w14:textId="77777777" w:rsidR="00C63CBC" w:rsidRDefault="00C63CBC" w:rsidP="00281660">
      <w:pPr>
        <w:pStyle w:val="List3"/>
        <w:ind w:left="720"/>
        <w:rPr>
          <w:rFonts w:ascii="Arial" w:hAnsi="Arial" w:cs="Arial"/>
        </w:rPr>
      </w:pPr>
    </w:p>
    <w:p w14:paraId="3FB557D8" w14:textId="26916DA8" w:rsidR="00C63CBC" w:rsidRDefault="00C63CBC" w:rsidP="00281660">
      <w:pPr>
        <w:pStyle w:val="List3"/>
        <w:ind w:left="720"/>
        <w:rPr>
          <w:rFonts w:ascii="Arial" w:hAnsi="Arial" w:cs="Arial"/>
        </w:rPr>
      </w:pPr>
      <w:r>
        <w:rPr>
          <w:rFonts w:ascii="Arial" w:hAnsi="Arial" w:cs="Arial"/>
        </w:rPr>
        <w:t>B.</w:t>
      </w:r>
      <w:r>
        <w:rPr>
          <w:rFonts w:ascii="Arial" w:hAnsi="Arial" w:cs="Arial"/>
        </w:rPr>
        <w:tab/>
        <w:t>State Primacy</w:t>
      </w:r>
    </w:p>
    <w:p w14:paraId="467C5116" w14:textId="77777777" w:rsidR="00150102" w:rsidRDefault="00150102" w:rsidP="00281660">
      <w:pPr>
        <w:pStyle w:val="List3"/>
        <w:ind w:left="720"/>
        <w:rPr>
          <w:rFonts w:ascii="Arial" w:hAnsi="Arial" w:cs="Arial"/>
        </w:rPr>
      </w:pPr>
    </w:p>
    <w:p w14:paraId="7B782744" w14:textId="3BB760AE" w:rsidR="00150102" w:rsidRDefault="00150102" w:rsidP="00150102">
      <w:pPr>
        <w:pStyle w:val="List3"/>
        <w:rPr>
          <w:rFonts w:ascii="Arial" w:hAnsi="Arial" w:cs="Arial"/>
        </w:rPr>
      </w:pPr>
      <w:r>
        <w:rPr>
          <w:rFonts w:ascii="Arial" w:hAnsi="Arial" w:cs="Arial"/>
        </w:rPr>
        <w:t>1.   Federal Safe Drinking Water Act authorizes states to apply for primary authority to enforce federal Safe Drinking Water Act requirements (primacy). (4</w:t>
      </w:r>
      <w:r w:rsidR="008C5202">
        <w:rPr>
          <w:rFonts w:ascii="Arial" w:hAnsi="Arial" w:cs="Arial"/>
        </w:rPr>
        <w:t>2</w:t>
      </w:r>
      <w:r>
        <w:rPr>
          <w:rFonts w:ascii="Arial" w:hAnsi="Arial" w:cs="Arial"/>
        </w:rPr>
        <w:t xml:space="preserve"> U.S.C. § 300</w:t>
      </w:r>
      <w:r w:rsidR="000C4CFA">
        <w:rPr>
          <w:rFonts w:ascii="Arial" w:hAnsi="Arial" w:cs="Arial"/>
        </w:rPr>
        <w:t>g-2</w:t>
      </w:r>
      <w:r w:rsidR="008C5202">
        <w:rPr>
          <w:rFonts w:ascii="Arial" w:hAnsi="Arial" w:cs="Arial"/>
        </w:rPr>
        <w:t xml:space="preserve">; see also </w:t>
      </w:r>
      <w:r w:rsidR="008C5202">
        <w:rPr>
          <w:rFonts w:ascii="Arial" w:hAnsi="Arial" w:cs="Arial"/>
          <w:i/>
          <w:iCs/>
        </w:rPr>
        <w:t>id.</w:t>
      </w:r>
      <w:r w:rsidR="008C5202">
        <w:rPr>
          <w:rFonts w:ascii="Arial" w:hAnsi="Arial" w:cs="Arial"/>
        </w:rPr>
        <w:t>, § 300j-11 [treatment of Indian Tribes as states</w:t>
      </w:r>
      <w:r>
        <w:rPr>
          <w:rFonts w:ascii="Arial" w:hAnsi="Arial" w:cs="Arial"/>
        </w:rPr>
        <w:t>.</w:t>
      </w:r>
      <w:r w:rsidR="008C52B5">
        <w:rPr>
          <w:rFonts w:ascii="Arial" w:hAnsi="Arial" w:cs="Arial"/>
        </w:rPr>
        <w:t>]</w:t>
      </w:r>
      <w:r>
        <w:rPr>
          <w:rFonts w:ascii="Arial" w:hAnsi="Arial" w:cs="Arial"/>
        </w:rPr>
        <w:t>)</w:t>
      </w:r>
    </w:p>
    <w:p w14:paraId="394CC08F" w14:textId="5943F2F2" w:rsidR="008C5202" w:rsidRDefault="008C5202" w:rsidP="00150102">
      <w:pPr>
        <w:pStyle w:val="List3"/>
        <w:rPr>
          <w:rFonts w:ascii="Arial" w:hAnsi="Arial" w:cs="Arial"/>
        </w:rPr>
      </w:pPr>
    </w:p>
    <w:p w14:paraId="1ECC2654" w14:textId="588F447B" w:rsidR="008C5202" w:rsidRDefault="008C5202" w:rsidP="00150102">
      <w:pPr>
        <w:pStyle w:val="List3"/>
        <w:rPr>
          <w:rFonts w:ascii="Arial" w:hAnsi="Arial" w:cs="Arial"/>
        </w:rPr>
      </w:pPr>
      <w:r>
        <w:rPr>
          <w:rFonts w:ascii="Arial" w:hAnsi="Arial" w:cs="Arial"/>
        </w:rPr>
        <w:t>2.  Public Water System Supervision grant program makes funding available to for states with primacy, covering some of the costs of administering the program. (42 U.S.C. § 300j-2</w:t>
      </w:r>
      <w:r w:rsidR="000C4CFA">
        <w:rPr>
          <w:rFonts w:ascii="Arial" w:hAnsi="Arial" w:cs="Arial"/>
        </w:rPr>
        <w:t xml:space="preserve">; see also </w:t>
      </w:r>
      <w:r w:rsidR="000C4CFA">
        <w:rPr>
          <w:rFonts w:ascii="Arial" w:hAnsi="Arial" w:cs="Arial"/>
          <w:i/>
          <w:iCs/>
        </w:rPr>
        <w:t>id.</w:t>
      </w:r>
      <w:r w:rsidR="000C4CFA">
        <w:rPr>
          <w:rFonts w:ascii="Arial" w:hAnsi="Arial" w:cs="Arial"/>
        </w:rPr>
        <w:t>, § 300j-12(g)(B)(</w:t>
      </w:r>
      <w:proofErr w:type="spellStart"/>
      <w:r w:rsidR="000C4CFA">
        <w:rPr>
          <w:rFonts w:ascii="Arial" w:hAnsi="Arial" w:cs="Arial"/>
        </w:rPr>
        <w:t>i</w:t>
      </w:r>
      <w:proofErr w:type="spellEnd"/>
      <w:r w:rsidR="000C4CFA">
        <w:rPr>
          <w:rFonts w:ascii="Arial" w:hAnsi="Arial" w:cs="Arial"/>
        </w:rPr>
        <w:t>)</w:t>
      </w:r>
      <w:r>
        <w:rPr>
          <w:rFonts w:ascii="Arial" w:hAnsi="Arial" w:cs="Arial"/>
        </w:rPr>
        <w:t>.)</w:t>
      </w:r>
    </w:p>
    <w:p w14:paraId="23E33956" w14:textId="77777777" w:rsidR="00150102" w:rsidRDefault="00150102" w:rsidP="00150102">
      <w:pPr>
        <w:pStyle w:val="List3"/>
        <w:rPr>
          <w:rFonts w:ascii="Arial" w:hAnsi="Arial" w:cs="Arial"/>
        </w:rPr>
      </w:pPr>
    </w:p>
    <w:p w14:paraId="002A412A" w14:textId="22D31E62" w:rsidR="00427571" w:rsidRDefault="00560314" w:rsidP="00427571">
      <w:pPr>
        <w:pStyle w:val="List3"/>
        <w:rPr>
          <w:rFonts w:ascii="Arial" w:hAnsi="Arial" w:cs="Arial"/>
        </w:rPr>
      </w:pPr>
      <w:r>
        <w:rPr>
          <w:rFonts w:ascii="Arial" w:hAnsi="Arial" w:cs="Arial"/>
        </w:rPr>
        <w:t>3</w:t>
      </w:r>
      <w:r w:rsidR="00150102">
        <w:rPr>
          <w:rFonts w:ascii="Arial" w:hAnsi="Arial" w:cs="Arial"/>
        </w:rPr>
        <w:t>.</w:t>
      </w:r>
      <w:r w:rsidR="00150102">
        <w:rPr>
          <w:rFonts w:ascii="Arial" w:hAnsi="Arial" w:cs="Arial"/>
        </w:rPr>
        <w:tab/>
        <w:t xml:space="preserve">California Safe Drinking Water Act is intended to enable the state to obtain and maintain the minimum requirements for primacy. (Health &amp; Safe Code, § 116270, subd. (h).) </w:t>
      </w:r>
      <w:r w:rsidR="00427571">
        <w:rPr>
          <w:rFonts w:ascii="Arial" w:hAnsi="Arial" w:cs="Arial"/>
        </w:rPr>
        <w:t>The state Safe Drinking Water Act provides the State Water Board authority to enforce the federal Safe Drinking Water Act and implementing regulations. (</w:t>
      </w:r>
      <w:r w:rsidR="00427571">
        <w:rPr>
          <w:rFonts w:ascii="Arial" w:hAnsi="Arial" w:cs="Arial"/>
          <w:i/>
          <w:iCs/>
        </w:rPr>
        <w:t>Id.</w:t>
      </w:r>
      <w:r w:rsidR="00427571">
        <w:rPr>
          <w:rFonts w:ascii="Arial" w:hAnsi="Arial" w:cs="Arial"/>
        </w:rPr>
        <w:t xml:space="preserve">, § 116350, subd. (b)(2).) The State Water Board may set additional or more stringent requirements. </w:t>
      </w:r>
      <w:r w:rsidR="00150102">
        <w:rPr>
          <w:rFonts w:ascii="Arial" w:hAnsi="Arial" w:cs="Arial"/>
        </w:rPr>
        <w:t>The California Safe Drinking Water Act is intended to improve on the minimum requirements of the federal act. (</w:t>
      </w:r>
      <w:r w:rsidR="00427571">
        <w:rPr>
          <w:rFonts w:ascii="Arial" w:hAnsi="Arial" w:cs="Arial"/>
          <w:i/>
          <w:iCs/>
        </w:rPr>
        <w:t xml:space="preserve">Id., </w:t>
      </w:r>
      <w:r w:rsidR="00427571">
        <w:rPr>
          <w:rFonts w:ascii="Arial" w:hAnsi="Arial" w:cs="Arial"/>
        </w:rPr>
        <w:t>§ 116270, subd. (</w:t>
      </w:r>
      <w:r w:rsidR="000C4CFA">
        <w:rPr>
          <w:rFonts w:ascii="Arial" w:hAnsi="Arial" w:cs="Arial"/>
        </w:rPr>
        <w:t>f</w:t>
      </w:r>
      <w:r w:rsidR="00427571">
        <w:rPr>
          <w:rFonts w:ascii="Arial" w:hAnsi="Arial" w:cs="Arial"/>
        </w:rPr>
        <w:t>).)</w:t>
      </w:r>
    </w:p>
    <w:p w14:paraId="12C565CE" w14:textId="77777777" w:rsidR="00427571" w:rsidRDefault="00427571" w:rsidP="00427571">
      <w:pPr>
        <w:pStyle w:val="List3"/>
        <w:rPr>
          <w:rFonts w:ascii="Arial" w:hAnsi="Arial" w:cs="Arial"/>
        </w:rPr>
      </w:pPr>
    </w:p>
    <w:p w14:paraId="29010FB3" w14:textId="2F4A3A1A" w:rsidR="00427571" w:rsidRDefault="00560314" w:rsidP="00427571">
      <w:pPr>
        <w:pStyle w:val="List3"/>
        <w:rPr>
          <w:rFonts w:ascii="Arial" w:hAnsi="Arial" w:cs="Arial"/>
        </w:rPr>
      </w:pPr>
      <w:r>
        <w:rPr>
          <w:rFonts w:ascii="Arial" w:hAnsi="Arial" w:cs="Arial"/>
        </w:rPr>
        <w:lastRenderedPageBreak/>
        <w:t>4</w:t>
      </w:r>
      <w:r w:rsidR="00427571">
        <w:rPr>
          <w:rFonts w:ascii="Arial" w:hAnsi="Arial" w:cs="Arial"/>
        </w:rPr>
        <w:t>.</w:t>
      </w:r>
      <w:r w:rsidR="00427571">
        <w:rPr>
          <w:rFonts w:ascii="Arial" w:hAnsi="Arial" w:cs="Arial"/>
        </w:rPr>
        <w:tab/>
        <w:t>USEPA has approved California’s primacy</w:t>
      </w:r>
      <w:bookmarkStart w:id="2" w:name="_Hlk30098433"/>
      <w:r w:rsidR="00427571">
        <w:rPr>
          <w:rFonts w:ascii="Arial" w:hAnsi="Arial" w:cs="Arial"/>
        </w:rPr>
        <w:t xml:space="preserve">. (State of California Primary Enforcement Responsibility, 43 </w:t>
      </w:r>
      <w:proofErr w:type="spellStart"/>
      <w:r w:rsidR="00427571">
        <w:rPr>
          <w:rFonts w:ascii="Arial" w:hAnsi="Arial" w:cs="Arial"/>
        </w:rPr>
        <w:t>Fed.Reg</w:t>
      </w:r>
      <w:proofErr w:type="spellEnd"/>
      <w:r w:rsidR="00427571">
        <w:rPr>
          <w:rFonts w:ascii="Arial" w:hAnsi="Arial" w:cs="Arial"/>
        </w:rPr>
        <w:t xml:space="preserve">. </w:t>
      </w:r>
      <w:r w:rsidR="00D932AA">
        <w:rPr>
          <w:rFonts w:ascii="Arial" w:hAnsi="Arial" w:cs="Arial"/>
        </w:rPr>
        <w:t>25180 (Jun. 9, 1978.)</w:t>
      </w:r>
      <w:r w:rsidR="00427571">
        <w:rPr>
          <w:rFonts w:ascii="Arial" w:hAnsi="Arial" w:cs="Arial"/>
        </w:rPr>
        <w:t xml:space="preserve"> </w:t>
      </w:r>
    </w:p>
    <w:bookmarkEnd w:id="2"/>
    <w:p w14:paraId="12B5B2EF" w14:textId="60A4B7DC" w:rsidR="00281660" w:rsidRDefault="00281660" w:rsidP="00D932AA">
      <w:pPr>
        <w:pStyle w:val="List3"/>
        <w:ind w:left="0" w:firstLine="0"/>
        <w:rPr>
          <w:rFonts w:ascii="Arial" w:hAnsi="Arial" w:cs="Arial"/>
        </w:rPr>
      </w:pPr>
    </w:p>
    <w:p w14:paraId="2A2E6291" w14:textId="32FD9BB1" w:rsidR="006D1107" w:rsidRDefault="006D1107" w:rsidP="006D1107">
      <w:pPr>
        <w:pStyle w:val="List3"/>
        <w:ind w:left="720"/>
        <w:rPr>
          <w:rFonts w:ascii="Arial" w:hAnsi="Arial" w:cs="Arial"/>
        </w:rPr>
      </w:pPr>
      <w:r w:rsidRPr="006D1107">
        <w:rPr>
          <w:rFonts w:ascii="Arial" w:hAnsi="Arial" w:cs="Arial"/>
        </w:rPr>
        <w:t>C.  Financial Assistance. The federal act provides grants to states to establish state revolving loan funds. (42 U.S.C. § 300j-12; 40 C.F.R. Part 35, Subpart L.</w:t>
      </w:r>
    </w:p>
    <w:p w14:paraId="1162272A" w14:textId="77777777" w:rsidR="006D1107" w:rsidRDefault="006D1107" w:rsidP="00D932AA">
      <w:pPr>
        <w:pStyle w:val="List3"/>
        <w:ind w:left="0" w:firstLine="0"/>
        <w:rPr>
          <w:rFonts w:ascii="Arial" w:hAnsi="Arial" w:cs="Arial"/>
        </w:rPr>
      </w:pPr>
    </w:p>
    <w:p w14:paraId="126D8EBD" w14:textId="77777777" w:rsidR="006D1107" w:rsidRDefault="006D1107" w:rsidP="006D2CD2">
      <w:pPr>
        <w:spacing w:after="240"/>
        <w:ind w:left="720" w:hanging="360"/>
      </w:pPr>
      <w:bookmarkStart w:id="3" w:name="_Hlk30096135"/>
      <w:r>
        <w:t>D.</w:t>
      </w:r>
      <w:r w:rsidR="00C63CBC" w:rsidRPr="00C63CBC">
        <w:t xml:space="preserve">  </w:t>
      </w:r>
      <w:r>
        <w:t>Other cooperative federalism features of the federal Safe Drinking Water Act.</w:t>
      </w:r>
    </w:p>
    <w:p w14:paraId="155CC0B6" w14:textId="77777777" w:rsidR="00F76B2F" w:rsidRDefault="006D1107" w:rsidP="00F76B2F">
      <w:pPr>
        <w:spacing w:after="240"/>
        <w:ind w:left="1080" w:hanging="360"/>
      </w:pPr>
      <w:r>
        <w:t xml:space="preserve">1. </w:t>
      </w:r>
      <w:r w:rsidR="00F76B2F">
        <w:t xml:space="preserve"> State requirements are preserved from preemption. </w:t>
      </w:r>
      <w:r>
        <w:t>(42 U.S.C. § 300g-</w:t>
      </w:r>
      <w:r w:rsidR="00F76B2F">
        <w:t>3(e).)</w:t>
      </w:r>
    </w:p>
    <w:p w14:paraId="6E9A8D1C" w14:textId="5AA34DBD" w:rsidR="00F76B2F" w:rsidRDefault="00F76B2F" w:rsidP="00F76B2F">
      <w:pPr>
        <w:spacing w:after="240"/>
        <w:ind w:left="1080" w:hanging="360"/>
      </w:pPr>
      <w:r>
        <w:t>2.  Federal facilities must comply with state requirements (42 U.S.C. § 300j-6)</w:t>
      </w:r>
    </w:p>
    <w:p w14:paraId="45EA3828" w14:textId="3A14A55E" w:rsidR="00F76B2F" w:rsidRPr="00EC69F4" w:rsidRDefault="00F76B2F" w:rsidP="00F76B2F">
      <w:pPr>
        <w:spacing w:after="240"/>
        <w:ind w:left="1080" w:hanging="360"/>
      </w:pPr>
      <w:r>
        <w:t xml:space="preserve">3.  Even where federal statutes are intended to promote cooperative federalism, there is a potential for excessive federal intervention or unwarranted deference to the states to undermine federal or state environmental protection programs. (See generally </w:t>
      </w:r>
      <w:proofErr w:type="spellStart"/>
      <w:r>
        <w:t>Kettl</w:t>
      </w:r>
      <w:proofErr w:type="spellEnd"/>
      <w:r>
        <w:t xml:space="preserve">, </w:t>
      </w:r>
      <w:r w:rsidR="00EC69F4">
        <w:rPr>
          <w:i/>
          <w:iCs/>
        </w:rPr>
        <w:t>‘</w:t>
      </w:r>
      <w:proofErr w:type="spellStart"/>
      <w:r w:rsidR="00EC69F4">
        <w:rPr>
          <w:i/>
          <w:iCs/>
        </w:rPr>
        <w:t>Jenga</w:t>
      </w:r>
      <w:proofErr w:type="spellEnd"/>
      <w:r w:rsidR="00EC69F4">
        <w:rPr>
          <w:i/>
          <w:iCs/>
        </w:rPr>
        <w:t xml:space="preserve"> Federalism’: Trump’s Method for Undoing Obama’s Policies </w:t>
      </w:r>
      <w:r w:rsidR="00EC69F4">
        <w:t xml:space="preserve">(Dec. 2018) Governing </w:t>
      </w:r>
      <w:hyperlink r:id="rId11" w:history="1">
        <w:r w:rsidR="00EC69F4" w:rsidRPr="00EC69F4">
          <w:rPr>
            <w:color w:val="0000FF"/>
            <w:u w:val="single"/>
          </w:rPr>
          <w:t>https://www.governing.com/columns/washington-watch/gov-jenga-federalism-trump-obama.html</w:t>
        </w:r>
      </w:hyperlink>
      <w:r w:rsidR="00EC69F4">
        <w:t xml:space="preserve">. Up to this point that has not occurred with safe drinking water programs. </w:t>
      </w:r>
      <w:bookmarkEnd w:id="3"/>
    </w:p>
    <w:sectPr w:rsidR="00F76B2F" w:rsidRPr="00EC69F4">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568E1" w14:textId="77777777" w:rsidR="007E1BFE" w:rsidRDefault="007E1BFE">
      <w:r>
        <w:separator/>
      </w:r>
    </w:p>
  </w:endnote>
  <w:endnote w:type="continuationSeparator" w:id="0">
    <w:p w14:paraId="108BCB7A" w14:textId="77777777" w:rsidR="007E1BFE" w:rsidRDefault="007E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487512"/>
      <w:docPartObj>
        <w:docPartGallery w:val="Page Numbers (Bottom of Page)"/>
        <w:docPartUnique/>
      </w:docPartObj>
    </w:sdtPr>
    <w:sdtEndPr>
      <w:rPr>
        <w:noProof/>
      </w:rPr>
    </w:sdtEndPr>
    <w:sdtContent>
      <w:p w14:paraId="32220EB9" w14:textId="6D27B747" w:rsidR="001A7A95" w:rsidRDefault="001A7A95">
        <w:pPr>
          <w:pStyle w:val="Footer"/>
          <w:jc w:val="center"/>
        </w:pPr>
        <w:r>
          <w:fldChar w:fldCharType="begin"/>
        </w:r>
        <w:r>
          <w:instrText xml:space="preserve"> PAGE   \* MERGEFORMAT </w:instrText>
        </w:r>
        <w:r>
          <w:fldChar w:fldCharType="separate"/>
        </w:r>
        <w:r w:rsidR="004A7B1A">
          <w:rPr>
            <w:noProof/>
          </w:rPr>
          <w:t>5</w:t>
        </w:r>
        <w:r>
          <w:rPr>
            <w:noProof/>
          </w:rPr>
          <w:fldChar w:fldCharType="end"/>
        </w:r>
      </w:p>
    </w:sdtContent>
  </w:sdt>
  <w:p w14:paraId="38ECD0EF" w14:textId="77777777" w:rsidR="002D5F55" w:rsidRDefault="002D5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34689" w14:textId="77777777" w:rsidR="007E1BFE" w:rsidRDefault="007E1BFE">
      <w:r>
        <w:separator/>
      </w:r>
    </w:p>
  </w:footnote>
  <w:footnote w:type="continuationSeparator" w:id="0">
    <w:p w14:paraId="7FE8BA4A" w14:textId="77777777" w:rsidR="007E1BFE" w:rsidRDefault="007E1BFE">
      <w:r>
        <w:continuationSeparator/>
      </w:r>
    </w:p>
  </w:footnote>
  <w:footnote w:id="1">
    <w:p w14:paraId="56CDE6A0" w14:textId="77777777" w:rsidR="002D5F55" w:rsidRDefault="002D5F55">
      <w:pPr>
        <w:pStyle w:val="FootnoteText"/>
        <w:tabs>
          <w:tab w:val="left" w:pos="-720"/>
        </w:tabs>
        <w:suppressAutoHyphens/>
        <w:spacing w:after="240"/>
      </w:pPr>
      <w:r>
        <w:rPr>
          <w:rStyle w:val="FootnoteReference"/>
          <w:rFonts w:ascii="Times New Roman" w:hAnsi="Times New Roman"/>
        </w:rPr>
        <w:t xml:space="preserve">     </w:t>
      </w:r>
      <w:r>
        <w:rPr>
          <w:rStyle w:val="FootnoteReference"/>
        </w:rPr>
        <w:t>*</w:t>
      </w:r>
      <w:r>
        <w:t xml:space="preserve">  Assistant Chief Counsel, California State Water Resources Control Board (State Water Board).  The views expressed in this article are those of the author, and do not necessarily reflect the views of the State Water Board, its individual members, or the State of California.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2FA"/>
    <w:multiLevelType w:val="hybridMultilevel"/>
    <w:tmpl w:val="291A10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424902"/>
    <w:multiLevelType w:val="hybridMultilevel"/>
    <w:tmpl w:val="66B254E6"/>
    <w:lvl w:ilvl="0" w:tplc="04090019">
      <w:start w:val="1"/>
      <w:numFmt w:val="lowerLetter"/>
      <w:lvlText w:val="%1."/>
      <w:lvlJc w:val="left"/>
      <w:pPr>
        <w:tabs>
          <w:tab w:val="num" w:pos="1980"/>
        </w:tabs>
        <w:ind w:left="1980" w:hanging="360"/>
      </w:pPr>
      <w:rPr>
        <w:rFonts w:hint="default"/>
      </w:rPr>
    </w:lvl>
    <w:lvl w:ilvl="1" w:tplc="4A0CFAE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91238FC"/>
    <w:multiLevelType w:val="hybridMultilevel"/>
    <w:tmpl w:val="9E745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6312BE"/>
    <w:multiLevelType w:val="hybridMultilevel"/>
    <w:tmpl w:val="DAD2297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652E32"/>
    <w:multiLevelType w:val="hybridMultilevel"/>
    <w:tmpl w:val="02FE3C68"/>
    <w:lvl w:ilvl="0" w:tplc="5E0EC9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8E2FF4"/>
    <w:multiLevelType w:val="hybridMultilevel"/>
    <w:tmpl w:val="743EF794"/>
    <w:lvl w:ilvl="0" w:tplc="29C039DE">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82564B"/>
    <w:multiLevelType w:val="hybridMultilevel"/>
    <w:tmpl w:val="9ED03B5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9E63E20"/>
    <w:multiLevelType w:val="hybridMultilevel"/>
    <w:tmpl w:val="FDE25DFC"/>
    <w:lvl w:ilvl="0" w:tplc="24B47D6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A612D2"/>
    <w:multiLevelType w:val="hybridMultilevel"/>
    <w:tmpl w:val="A432A2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44B18A2"/>
    <w:multiLevelType w:val="hybridMultilevel"/>
    <w:tmpl w:val="ACC2434E"/>
    <w:lvl w:ilvl="0" w:tplc="1474EB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6CB76C0"/>
    <w:multiLevelType w:val="hybridMultilevel"/>
    <w:tmpl w:val="0B3EB5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8017117"/>
    <w:multiLevelType w:val="hybridMultilevel"/>
    <w:tmpl w:val="F9FE156A"/>
    <w:lvl w:ilvl="0" w:tplc="80E8A232">
      <w:start w:val="1"/>
      <w:numFmt w:val="upperRoman"/>
      <w:lvlText w:val="%1."/>
      <w:lvlJc w:val="left"/>
      <w:pPr>
        <w:tabs>
          <w:tab w:val="num" w:pos="720"/>
        </w:tabs>
        <w:ind w:left="720" w:hanging="720"/>
      </w:pPr>
      <w:rPr>
        <w:rFonts w:hint="default"/>
      </w:rPr>
    </w:lvl>
    <w:lvl w:ilvl="1" w:tplc="F3EA2054">
      <w:start w:val="1"/>
      <w:numFmt w:val="upperLetter"/>
      <w:lvlText w:val="%2."/>
      <w:lvlJc w:val="left"/>
      <w:pPr>
        <w:tabs>
          <w:tab w:val="num" w:pos="1095"/>
        </w:tabs>
        <w:ind w:left="1095" w:hanging="375"/>
      </w:pPr>
      <w:rPr>
        <w:rFonts w:hint="default"/>
      </w:rPr>
    </w:lvl>
    <w:lvl w:ilvl="2" w:tplc="09AC65BA">
      <w:start w:val="1"/>
      <w:numFmt w:val="decimal"/>
      <w:lvlText w:val="%3."/>
      <w:lvlJc w:val="right"/>
      <w:pPr>
        <w:tabs>
          <w:tab w:val="num" w:pos="900"/>
        </w:tabs>
        <w:ind w:left="900" w:hanging="180"/>
      </w:pPr>
      <w:rPr>
        <w:rFonts w:ascii="Times New Roman" w:eastAsia="Times New Roman" w:hAnsi="Times New Roman" w:cs="Times New Roman" w:hint="default"/>
      </w:rPr>
    </w:lvl>
    <w:lvl w:ilvl="3" w:tplc="720A4336">
      <w:start w:val="1"/>
      <w:numFmt w:val="lowerLetter"/>
      <w:lvlText w:val="%4."/>
      <w:lvlJc w:val="left"/>
      <w:pPr>
        <w:tabs>
          <w:tab w:val="num" w:pos="1620"/>
        </w:tabs>
        <w:ind w:left="1620" w:hanging="720"/>
      </w:pPr>
      <w:rPr>
        <w:rFonts w:ascii="Times New Roman" w:eastAsia="Times New Roman" w:hAnsi="Times New Roman" w:cs="Times New Roman"/>
      </w:rPr>
    </w:lvl>
    <w:lvl w:ilvl="4" w:tplc="A386C896">
      <w:start w:val="1"/>
      <w:numFmt w:val="lowerLetter"/>
      <w:lvlText w:val="%5."/>
      <w:lvlJc w:val="left"/>
      <w:pPr>
        <w:tabs>
          <w:tab w:val="num" w:pos="3240"/>
        </w:tabs>
        <w:ind w:left="3240" w:hanging="360"/>
      </w:pPr>
      <w:rPr>
        <w:rFonts w:hint="default"/>
      </w:rPr>
    </w:lvl>
    <w:lvl w:ilvl="5" w:tplc="2FD8020A">
      <w:start w:val="1"/>
      <w:numFmt w:val="lowerRoman"/>
      <w:lvlText w:val="%6."/>
      <w:lvlJc w:val="left"/>
      <w:pPr>
        <w:tabs>
          <w:tab w:val="num" w:pos="4500"/>
        </w:tabs>
        <w:ind w:left="4500" w:hanging="720"/>
      </w:pPr>
      <w:rPr>
        <w:rFonts w:hint="default"/>
      </w:rPr>
    </w:lvl>
    <w:lvl w:ilvl="6" w:tplc="0409000F">
      <w:start w:val="1"/>
      <w:numFmt w:val="decimal"/>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85C7A6F"/>
    <w:multiLevelType w:val="hybridMultilevel"/>
    <w:tmpl w:val="8EFCC9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8D957D6"/>
    <w:multiLevelType w:val="hybridMultilevel"/>
    <w:tmpl w:val="05D62A50"/>
    <w:lvl w:ilvl="0" w:tplc="3C02635A">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99D29CA"/>
    <w:multiLevelType w:val="hybridMultilevel"/>
    <w:tmpl w:val="A6C6A2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CE519CE"/>
    <w:multiLevelType w:val="hybridMultilevel"/>
    <w:tmpl w:val="3D0A0D38"/>
    <w:lvl w:ilvl="0" w:tplc="04090001">
      <w:start w:val="1"/>
      <w:numFmt w:val="bullet"/>
      <w:lvlText w:val=""/>
      <w:lvlJc w:val="left"/>
      <w:pPr>
        <w:tabs>
          <w:tab w:val="num" w:pos="720"/>
        </w:tabs>
        <w:ind w:left="720" w:hanging="360"/>
      </w:pPr>
      <w:rPr>
        <w:rFonts w:ascii="Symbol" w:hAnsi="Symbol" w:hint="default"/>
      </w:rPr>
    </w:lvl>
    <w:lvl w:ilvl="1" w:tplc="8FD0986A">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3EFA5940">
      <w:start w:val="1"/>
      <w:numFmt w:val="decimal"/>
      <w:lvlText w:val="%4."/>
      <w:lvlJc w:val="left"/>
      <w:pPr>
        <w:tabs>
          <w:tab w:val="num" w:pos="3240"/>
        </w:tabs>
        <w:ind w:left="3240" w:hanging="720"/>
      </w:pPr>
      <w:rPr>
        <w:rFonts w:hint="default"/>
      </w:rPr>
    </w:lvl>
    <w:lvl w:ilvl="4" w:tplc="B22275EE">
      <w:start w:val="1"/>
      <w:numFmt w:val="lowerLetter"/>
      <w:lvlText w:val="%5."/>
      <w:lvlJc w:val="left"/>
      <w:pPr>
        <w:tabs>
          <w:tab w:val="num" w:pos="3960"/>
        </w:tabs>
        <w:ind w:left="3960" w:hanging="720"/>
      </w:pPr>
      <w:rPr>
        <w:rFonts w:hint="default"/>
      </w:rPr>
    </w:lvl>
    <w:lvl w:ilvl="5" w:tplc="F7621FD8">
      <w:start w:val="2"/>
      <w:numFmt w:val="decimal"/>
      <w:lvlText w:val="%6."/>
      <w:lvlJc w:val="left"/>
      <w:pPr>
        <w:tabs>
          <w:tab w:val="num" w:pos="4500"/>
        </w:tabs>
        <w:ind w:left="4500" w:hanging="360"/>
      </w:pPr>
      <w:rPr>
        <w:rFonts w:hint="default"/>
      </w:rPr>
    </w:lvl>
    <w:lvl w:ilvl="6" w:tplc="907EB6F0">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C04DA2"/>
    <w:multiLevelType w:val="hybridMultilevel"/>
    <w:tmpl w:val="C2CA3ECE"/>
    <w:lvl w:ilvl="0" w:tplc="9C700ED0">
      <w:start w:val="1"/>
      <w:numFmt w:val="upperLetter"/>
      <w:lvlText w:val="%1."/>
      <w:lvlJc w:val="left"/>
      <w:pPr>
        <w:tabs>
          <w:tab w:val="num" w:pos="1080"/>
        </w:tabs>
        <w:ind w:left="1080" w:hanging="720"/>
      </w:pPr>
      <w:rPr>
        <w:rFonts w:ascii="Times New Roman" w:eastAsia="Times New Roman" w:hAnsi="Times New Roman" w:cs="Times New Roman"/>
      </w:rPr>
    </w:lvl>
    <w:lvl w:ilvl="1" w:tplc="8FD0986A">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3EFA5940">
      <w:start w:val="1"/>
      <w:numFmt w:val="decimal"/>
      <w:lvlText w:val="%4."/>
      <w:lvlJc w:val="left"/>
      <w:pPr>
        <w:tabs>
          <w:tab w:val="num" w:pos="3240"/>
        </w:tabs>
        <w:ind w:left="3240" w:hanging="720"/>
      </w:pPr>
      <w:rPr>
        <w:rFonts w:hint="default"/>
      </w:rPr>
    </w:lvl>
    <w:lvl w:ilvl="4" w:tplc="B22275EE">
      <w:start w:val="1"/>
      <w:numFmt w:val="lowerLetter"/>
      <w:lvlText w:val="%5."/>
      <w:lvlJc w:val="left"/>
      <w:pPr>
        <w:tabs>
          <w:tab w:val="num" w:pos="3960"/>
        </w:tabs>
        <w:ind w:left="3960" w:hanging="720"/>
      </w:pPr>
      <w:rPr>
        <w:rFonts w:hint="default"/>
      </w:rPr>
    </w:lvl>
    <w:lvl w:ilvl="5" w:tplc="F7621FD8">
      <w:start w:val="2"/>
      <w:numFmt w:val="decimal"/>
      <w:lvlText w:val="%6."/>
      <w:lvlJc w:val="left"/>
      <w:pPr>
        <w:tabs>
          <w:tab w:val="num" w:pos="4500"/>
        </w:tabs>
        <w:ind w:left="4500" w:hanging="360"/>
      </w:pPr>
      <w:rPr>
        <w:rFonts w:hint="default"/>
      </w:rPr>
    </w:lvl>
    <w:lvl w:ilvl="6" w:tplc="907EB6F0">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7C7709"/>
    <w:multiLevelType w:val="hybridMultilevel"/>
    <w:tmpl w:val="1D2A5558"/>
    <w:lvl w:ilvl="0" w:tplc="A418CE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CD1CE9"/>
    <w:multiLevelType w:val="hybridMultilevel"/>
    <w:tmpl w:val="A2D658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D1938D6"/>
    <w:multiLevelType w:val="hybridMultilevel"/>
    <w:tmpl w:val="FBD60262"/>
    <w:lvl w:ilvl="0" w:tplc="9432AD0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2A5D26"/>
    <w:multiLevelType w:val="hybridMultilevel"/>
    <w:tmpl w:val="49E069F2"/>
    <w:lvl w:ilvl="0" w:tplc="070A45FC">
      <w:start w:val="1"/>
      <w:numFmt w:val="bullet"/>
      <w:pStyle w:val="ListBullet5"/>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3FF37FFE"/>
    <w:multiLevelType w:val="hybridMultilevel"/>
    <w:tmpl w:val="54407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F3B47"/>
    <w:multiLevelType w:val="hybridMultilevel"/>
    <w:tmpl w:val="B2503940"/>
    <w:lvl w:ilvl="0" w:tplc="41E202E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D6B5028"/>
    <w:multiLevelType w:val="hybridMultilevel"/>
    <w:tmpl w:val="8E4C7C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E5839E0"/>
    <w:multiLevelType w:val="hybridMultilevel"/>
    <w:tmpl w:val="3EAA5998"/>
    <w:lvl w:ilvl="0" w:tplc="0409000F">
      <w:start w:val="1"/>
      <w:numFmt w:val="decimal"/>
      <w:lvlText w:val="%1."/>
      <w:lvlJc w:val="left"/>
      <w:pPr>
        <w:tabs>
          <w:tab w:val="num" w:pos="1080"/>
        </w:tabs>
        <w:ind w:left="1080" w:hanging="360"/>
      </w:pPr>
      <w:rPr>
        <w:rFonts w:hint="default"/>
      </w:rPr>
    </w:lvl>
    <w:lvl w:ilvl="1" w:tplc="9DB22296">
      <w:start w:val="1"/>
      <w:numFmt w:val="lowerRoman"/>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1864372"/>
    <w:multiLevelType w:val="hybridMultilevel"/>
    <w:tmpl w:val="8DFEE616"/>
    <w:lvl w:ilvl="0" w:tplc="A14EA18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6775A1F"/>
    <w:multiLevelType w:val="hybridMultilevel"/>
    <w:tmpl w:val="B636A7A4"/>
    <w:lvl w:ilvl="0" w:tplc="E83CECB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E2D3848"/>
    <w:multiLevelType w:val="multilevel"/>
    <w:tmpl w:val="A2D658C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8">
    <w:nsid w:val="60AA18E8"/>
    <w:multiLevelType w:val="hybridMultilevel"/>
    <w:tmpl w:val="8876805E"/>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9">
    <w:nsid w:val="62285BB5"/>
    <w:multiLevelType w:val="hybridMultilevel"/>
    <w:tmpl w:val="E7568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2D834E6"/>
    <w:multiLevelType w:val="hybridMultilevel"/>
    <w:tmpl w:val="783C1166"/>
    <w:lvl w:ilvl="0" w:tplc="7512AB5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934470"/>
    <w:multiLevelType w:val="hybridMultilevel"/>
    <w:tmpl w:val="BBCE81E0"/>
    <w:lvl w:ilvl="0" w:tplc="90243E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0B1051"/>
    <w:multiLevelType w:val="multilevel"/>
    <w:tmpl w:val="E756854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7AA84C6C"/>
    <w:multiLevelType w:val="hybridMultilevel"/>
    <w:tmpl w:val="5554EF8E"/>
    <w:lvl w:ilvl="0" w:tplc="AF12FBD4">
      <w:start w:val="4"/>
      <w:numFmt w:val="lowerRoman"/>
      <w:lvlText w:val="%1."/>
      <w:lvlJc w:val="left"/>
      <w:pPr>
        <w:tabs>
          <w:tab w:val="num" w:pos="3600"/>
        </w:tabs>
        <w:ind w:left="3600" w:hanging="720"/>
      </w:pPr>
      <w:rPr>
        <w:rFonts w:hint="default"/>
      </w:rPr>
    </w:lvl>
    <w:lvl w:ilvl="1" w:tplc="B5589FBE">
      <w:start w:val="2"/>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4">
    <w:nsid w:val="7BBE0490"/>
    <w:multiLevelType w:val="hybridMultilevel"/>
    <w:tmpl w:val="5D88B0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7F3866E2"/>
    <w:multiLevelType w:val="hybridMultilevel"/>
    <w:tmpl w:val="3ADC7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11"/>
  </w:num>
  <w:num w:numId="4">
    <w:abstractNumId w:val="16"/>
  </w:num>
  <w:num w:numId="5">
    <w:abstractNumId w:val="3"/>
  </w:num>
  <w:num w:numId="6">
    <w:abstractNumId w:val="33"/>
  </w:num>
  <w:num w:numId="7">
    <w:abstractNumId w:val="1"/>
  </w:num>
  <w:num w:numId="8">
    <w:abstractNumId w:val="18"/>
  </w:num>
  <w:num w:numId="9">
    <w:abstractNumId w:val="27"/>
  </w:num>
  <w:num w:numId="10">
    <w:abstractNumId w:val="24"/>
  </w:num>
  <w:num w:numId="11">
    <w:abstractNumId w:val="15"/>
  </w:num>
  <w:num w:numId="12">
    <w:abstractNumId w:val="32"/>
  </w:num>
  <w:num w:numId="13">
    <w:abstractNumId w:val="28"/>
  </w:num>
  <w:num w:numId="14">
    <w:abstractNumId w:val="8"/>
  </w:num>
  <w:num w:numId="15">
    <w:abstractNumId w:val="13"/>
  </w:num>
  <w:num w:numId="16">
    <w:abstractNumId w:val="20"/>
  </w:num>
  <w:num w:numId="17">
    <w:abstractNumId w:val="9"/>
  </w:num>
  <w:num w:numId="18">
    <w:abstractNumId w:val="14"/>
  </w:num>
  <w:num w:numId="19">
    <w:abstractNumId w:val="23"/>
  </w:num>
  <w:num w:numId="20">
    <w:abstractNumId w:val="34"/>
  </w:num>
  <w:num w:numId="21">
    <w:abstractNumId w:val="6"/>
  </w:num>
  <w:num w:numId="22">
    <w:abstractNumId w:val="10"/>
  </w:num>
  <w:num w:numId="23">
    <w:abstractNumId w:val="0"/>
  </w:num>
  <w:num w:numId="24">
    <w:abstractNumId w:val="12"/>
  </w:num>
  <w:num w:numId="25">
    <w:abstractNumId w:val="19"/>
  </w:num>
  <w:num w:numId="26">
    <w:abstractNumId w:val="4"/>
  </w:num>
  <w:num w:numId="27">
    <w:abstractNumId w:val="30"/>
  </w:num>
  <w:num w:numId="28">
    <w:abstractNumId w:val="21"/>
  </w:num>
  <w:num w:numId="29">
    <w:abstractNumId w:val="31"/>
  </w:num>
  <w:num w:numId="30">
    <w:abstractNumId w:val="7"/>
  </w:num>
  <w:num w:numId="31">
    <w:abstractNumId w:val="5"/>
  </w:num>
  <w:num w:numId="32">
    <w:abstractNumId w:val="22"/>
  </w:num>
  <w:num w:numId="33">
    <w:abstractNumId w:val="26"/>
  </w:num>
  <w:num w:numId="34">
    <w:abstractNumId w:val="17"/>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21"/>
    <w:rsid w:val="00005135"/>
    <w:rsid w:val="00007796"/>
    <w:rsid w:val="00017372"/>
    <w:rsid w:val="00050BCB"/>
    <w:rsid w:val="00056622"/>
    <w:rsid w:val="00063A88"/>
    <w:rsid w:val="0009057F"/>
    <w:rsid w:val="00093CC3"/>
    <w:rsid w:val="000A395E"/>
    <w:rsid w:val="000A45F6"/>
    <w:rsid w:val="000A5696"/>
    <w:rsid w:val="000B18F2"/>
    <w:rsid w:val="000C0538"/>
    <w:rsid w:val="000C4CFA"/>
    <w:rsid w:val="000D4D89"/>
    <w:rsid w:val="000E043B"/>
    <w:rsid w:val="000E4294"/>
    <w:rsid w:val="000E56FC"/>
    <w:rsid w:val="000F00E3"/>
    <w:rsid w:val="000F7AA0"/>
    <w:rsid w:val="00100489"/>
    <w:rsid w:val="00120E4F"/>
    <w:rsid w:val="0012439D"/>
    <w:rsid w:val="00133332"/>
    <w:rsid w:val="00150102"/>
    <w:rsid w:val="00161599"/>
    <w:rsid w:val="0016220E"/>
    <w:rsid w:val="001A7A95"/>
    <w:rsid w:val="001C4F91"/>
    <w:rsid w:val="001C5253"/>
    <w:rsid w:val="001E6BDB"/>
    <w:rsid w:val="001F17CD"/>
    <w:rsid w:val="001F49B4"/>
    <w:rsid w:val="001F6196"/>
    <w:rsid w:val="001F78F0"/>
    <w:rsid w:val="00211338"/>
    <w:rsid w:val="0022316D"/>
    <w:rsid w:val="00255AED"/>
    <w:rsid w:val="00260C1A"/>
    <w:rsid w:val="002628E5"/>
    <w:rsid w:val="00263DDC"/>
    <w:rsid w:val="002702AC"/>
    <w:rsid w:val="00270301"/>
    <w:rsid w:val="00281660"/>
    <w:rsid w:val="00290F7C"/>
    <w:rsid w:val="002964B1"/>
    <w:rsid w:val="00296C74"/>
    <w:rsid w:val="002A1D4A"/>
    <w:rsid w:val="002B0C61"/>
    <w:rsid w:val="002B164B"/>
    <w:rsid w:val="002B16B0"/>
    <w:rsid w:val="002D0CDB"/>
    <w:rsid w:val="002D28EB"/>
    <w:rsid w:val="002D2B66"/>
    <w:rsid w:val="002D5F55"/>
    <w:rsid w:val="002F6C0E"/>
    <w:rsid w:val="00300458"/>
    <w:rsid w:val="003301A6"/>
    <w:rsid w:val="0034301E"/>
    <w:rsid w:val="003474F0"/>
    <w:rsid w:val="0036022E"/>
    <w:rsid w:val="0037079D"/>
    <w:rsid w:val="003C5C4E"/>
    <w:rsid w:val="003E0FCB"/>
    <w:rsid w:val="003E5611"/>
    <w:rsid w:val="003F2C3C"/>
    <w:rsid w:val="003F4D7A"/>
    <w:rsid w:val="003F762B"/>
    <w:rsid w:val="00406D70"/>
    <w:rsid w:val="00427571"/>
    <w:rsid w:val="00431B29"/>
    <w:rsid w:val="00465BB3"/>
    <w:rsid w:val="0046727B"/>
    <w:rsid w:val="004739C0"/>
    <w:rsid w:val="004850A6"/>
    <w:rsid w:val="0048620F"/>
    <w:rsid w:val="00490A92"/>
    <w:rsid w:val="00490F7D"/>
    <w:rsid w:val="00492F50"/>
    <w:rsid w:val="004A6C4D"/>
    <w:rsid w:val="004A7B1A"/>
    <w:rsid w:val="004E1831"/>
    <w:rsid w:val="00505B51"/>
    <w:rsid w:val="00511DC1"/>
    <w:rsid w:val="00517E77"/>
    <w:rsid w:val="005208FF"/>
    <w:rsid w:val="0052489F"/>
    <w:rsid w:val="005378DA"/>
    <w:rsid w:val="00545754"/>
    <w:rsid w:val="00553372"/>
    <w:rsid w:val="0055552C"/>
    <w:rsid w:val="00560314"/>
    <w:rsid w:val="005635B0"/>
    <w:rsid w:val="00570502"/>
    <w:rsid w:val="005912B1"/>
    <w:rsid w:val="005B72A9"/>
    <w:rsid w:val="005C4FB9"/>
    <w:rsid w:val="005D3705"/>
    <w:rsid w:val="005D6004"/>
    <w:rsid w:val="005E1BAD"/>
    <w:rsid w:val="005E23BB"/>
    <w:rsid w:val="005E38E9"/>
    <w:rsid w:val="005E4BF0"/>
    <w:rsid w:val="005F0CBB"/>
    <w:rsid w:val="0061332C"/>
    <w:rsid w:val="006148CF"/>
    <w:rsid w:val="00657F52"/>
    <w:rsid w:val="006606FB"/>
    <w:rsid w:val="006636CD"/>
    <w:rsid w:val="00676F67"/>
    <w:rsid w:val="006874CD"/>
    <w:rsid w:val="006B3167"/>
    <w:rsid w:val="006B4BE8"/>
    <w:rsid w:val="006D1107"/>
    <w:rsid w:val="006D2CD2"/>
    <w:rsid w:val="006E16A7"/>
    <w:rsid w:val="006E29B8"/>
    <w:rsid w:val="006E2D07"/>
    <w:rsid w:val="006E7C28"/>
    <w:rsid w:val="006F3650"/>
    <w:rsid w:val="007026E0"/>
    <w:rsid w:val="00744ADA"/>
    <w:rsid w:val="00756B60"/>
    <w:rsid w:val="00771D75"/>
    <w:rsid w:val="00776B4C"/>
    <w:rsid w:val="00783807"/>
    <w:rsid w:val="007928B2"/>
    <w:rsid w:val="00796C13"/>
    <w:rsid w:val="007A197C"/>
    <w:rsid w:val="007C3C27"/>
    <w:rsid w:val="007C6029"/>
    <w:rsid w:val="007D7258"/>
    <w:rsid w:val="007E1BFE"/>
    <w:rsid w:val="007E2110"/>
    <w:rsid w:val="007F1671"/>
    <w:rsid w:val="00810464"/>
    <w:rsid w:val="0081119F"/>
    <w:rsid w:val="00841B2C"/>
    <w:rsid w:val="00856626"/>
    <w:rsid w:val="00856F80"/>
    <w:rsid w:val="00857094"/>
    <w:rsid w:val="00870B94"/>
    <w:rsid w:val="00871EC5"/>
    <w:rsid w:val="00883FFC"/>
    <w:rsid w:val="008851D0"/>
    <w:rsid w:val="00893B44"/>
    <w:rsid w:val="008976A9"/>
    <w:rsid w:val="00897B08"/>
    <w:rsid w:val="008A2523"/>
    <w:rsid w:val="008B0028"/>
    <w:rsid w:val="008B3CF9"/>
    <w:rsid w:val="008C5202"/>
    <w:rsid w:val="008C52B5"/>
    <w:rsid w:val="008D1190"/>
    <w:rsid w:val="008D69AC"/>
    <w:rsid w:val="008D7E02"/>
    <w:rsid w:val="008F067B"/>
    <w:rsid w:val="0091129E"/>
    <w:rsid w:val="00927C75"/>
    <w:rsid w:val="009A4B52"/>
    <w:rsid w:val="009A50F3"/>
    <w:rsid w:val="009C1FAC"/>
    <w:rsid w:val="009C392D"/>
    <w:rsid w:val="009D373F"/>
    <w:rsid w:val="009D53DF"/>
    <w:rsid w:val="009D66A9"/>
    <w:rsid w:val="009E2D7E"/>
    <w:rsid w:val="009E5693"/>
    <w:rsid w:val="009F6026"/>
    <w:rsid w:val="009F62A2"/>
    <w:rsid w:val="00A06BE9"/>
    <w:rsid w:val="00A343BA"/>
    <w:rsid w:val="00A371B0"/>
    <w:rsid w:val="00A3769D"/>
    <w:rsid w:val="00A52469"/>
    <w:rsid w:val="00A52A48"/>
    <w:rsid w:val="00A535AC"/>
    <w:rsid w:val="00A643B9"/>
    <w:rsid w:val="00A65684"/>
    <w:rsid w:val="00A8262B"/>
    <w:rsid w:val="00A8485F"/>
    <w:rsid w:val="00A95E94"/>
    <w:rsid w:val="00AA2828"/>
    <w:rsid w:val="00AD55C6"/>
    <w:rsid w:val="00AF4D89"/>
    <w:rsid w:val="00B00E55"/>
    <w:rsid w:val="00B27104"/>
    <w:rsid w:val="00B31BCA"/>
    <w:rsid w:val="00B4498F"/>
    <w:rsid w:val="00B4581F"/>
    <w:rsid w:val="00B65882"/>
    <w:rsid w:val="00B7020E"/>
    <w:rsid w:val="00B743A2"/>
    <w:rsid w:val="00B8323F"/>
    <w:rsid w:val="00BA252C"/>
    <w:rsid w:val="00BB0ADC"/>
    <w:rsid w:val="00BB68B9"/>
    <w:rsid w:val="00C11FE4"/>
    <w:rsid w:val="00C140E0"/>
    <w:rsid w:val="00C207E2"/>
    <w:rsid w:val="00C61F6D"/>
    <w:rsid w:val="00C63CBC"/>
    <w:rsid w:val="00C66D6A"/>
    <w:rsid w:val="00C77240"/>
    <w:rsid w:val="00C86500"/>
    <w:rsid w:val="00CA1729"/>
    <w:rsid w:val="00CA4044"/>
    <w:rsid w:val="00CA44B2"/>
    <w:rsid w:val="00CD415B"/>
    <w:rsid w:val="00D10FC4"/>
    <w:rsid w:val="00D13758"/>
    <w:rsid w:val="00D13BB2"/>
    <w:rsid w:val="00D20E04"/>
    <w:rsid w:val="00D34FCC"/>
    <w:rsid w:val="00D46B79"/>
    <w:rsid w:val="00D66714"/>
    <w:rsid w:val="00D72C4C"/>
    <w:rsid w:val="00D84346"/>
    <w:rsid w:val="00D932AA"/>
    <w:rsid w:val="00DB34BB"/>
    <w:rsid w:val="00DC2F4D"/>
    <w:rsid w:val="00DD1388"/>
    <w:rsid w:val="00DD1888"/>
    <w:rsid w:val="00DE3104"/>
    <w:rsid w:val="00DE3E1B"/>
    <w:rsid w:val="00DF164B"/>
    <w:rsid w:val="00E121EE"/>
    <w:rsid w:val="00E12E21"/>
    <w:rsid w:val="00E277E0"/>
    <w:rsid w:val="00E35AAB"/>
    <w:rsid w:val="00E44496"/>
    <w:rsid w:val="00E512A6"/>
    <w:rsid w:val="00E6018C"/>
    <w:rsid w:val="00E62436"/>
    <w:rsid w:val="00E624FC"/>
    <w:rsid w:val="00E74875"/>
    <w:rsid w:val="00E749C6"/>
    <w:rsid w:val="00E83273"/>
    <w:rsid w:val="00EB137E"/>
    <w:rsid w:val="00EC14A6"/>
    <w:rsid w:val="00EC1CC3"/>
    <w:rsid w:val="00EC69F4"/>
    <w:rsid w:val="00ED05C6"/>
    <w:rsid w:val="00ED2196"/>
    <w:rsid w:val="00ED7697"/>
    <w:rsid w:val="00EE27F7"/>
    <w:rsid w:val="00EE353A"/>
    <w:rsid w:val="00F052A6"/>
    <w:rsid w:val="00F118FC"/>
    <w:rsid w:val="00F15254"/>
    <w:rsid w:val="00F16E88"/>
    <w:rsid w:val="00F20323"/>
    <w:rsid w:val="00F47104"/>
    <w:rsid w:val="00F65E98"/>
    <w:rsid w:val="00F7194E"/>
    <w:rsid w:val="00F76B2F"/>
    <w:rsid w:val="00FB3171"/>
    <w:rsid w:val="00FC1D4E"/>
    <w:rsid w:val="00FC78F2"/>
    <w:rsid w:val="00FD1DC5"/>
    <w:rsid w:val="00FD3619"/>
    <w:rsid w:val="00FD6486"/>
    <w:rsid w:val="00FD6CAB"/>
    <w:rsid w:val="00FD7AEC"/>
    <w:rsid w:val="00FE3210"/>
    <w:rsid w:val="00FE7C1F"/>
    <w:rsid w:val="00FF0AF8"/>
    <w:rsid w:val="00F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C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3">
    <w:name w:val="heading 3"/>
    <w:basedOn w:val="Normal"/>
    <w:qFormat/>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3">
    <w:name w:val="List 3"/>
    <w:basedOn w:val="Normal"/>
    <w:pPr>
      <w:ind w:left="1080" w:hanging="360"/>
    </w:pPr>
    <w:rPr>
      <w:rFonts w:ascii="Times New Roman" w:hAnsi="Times New Roman" w:cs="Times New Roman"/>
    </w:rPr>
  </w:style>
  <w:style w:type="paragraph" w:styleId="ListContinue2">
    <w:name w:val="List Continue 2"/>
    <w:basedOn w:val="Normal"/>
    <w:pPr>
      <w:spacing w:after="120"/>
      <w:ind w:left="720"/>
    </w:pPr>
    <w:rPr>
      <w:rFonts w:ascii="Times New Roman" w:hAnsi="Times New Roman" w:cs="Times New Roman"/>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overflowPunct w:val="0"/>
      <w:autoSpaceDE w:val="0"/>
      <w:autoSpaceDN w:val="0"/>
      <w:adjustRightInd w:val="0"/>
      <w:spacing w:after="120"/>
      <w:textAlignment w:val="baseline"/>
    </w:pPr>
    <w:rPr>
      <w:rFonts w:ascii="Times New Roman" w:hAnsi="Times New Roman" w:cs="Times New Roman"/>
      <w:szCs w:val="20"/>
    </w:rPr>
  </w:style>
  <w:style w:type="paragraph" w:styleId="Title">
    <w:name w:val="Title"/>
    <w:basedOn w:val="Normal"/>
    <w:qFormat/>
    <w:pPr>
      <w:overflowPunct w:val="0"/>
      <w:autoSpaceDE w:val="0"/>
      <w:autoSpaceDN w:val="0"/>
      <w:adjustRightInd w:val="0"/>
      <w:spacing w:before="240" w:after="60"/>
      <w:jc w:val="center"/>
      <w:textAlignment w:val="baseline"/>
    </w:pPr>
    <w:rPr>
      <w:rFonts w:cs="Times New Roman"/>
      <w:b/>
      <w:kern w:val="28"/>
      <w:sz w:val="32"/>
      <w:szCs w:val="20"/>
    </w:rPr>
  </w:style>
  <w:style w:type="paragraph" w:styleId="Subtitle">
    <w:name w:val="Subtitle"/>
    <w:basedOn w:val="Normal"/>
    <w:qFormat/>
    <w:pPr>
      <w:overflowPunct w:val="0"/>
      <w:autoSpaceDE w:val="0"/>
      <w:autoSpaceDN w:val="0"/>
      <w:adjustRightInd w:val="0"/>
      <w:spacing w:after="60"/>
      <w:jc w:val="center"/>
      <w:textAlignment w:val="baseline"/>
    </w:pPr>
    <w:rPr>
      <w:rFonts w:cs="Times New Roman"/>
      <w:i/>
      <w:szCs w:val="20"/>
    </w:rPr>
  </w:style>
  <w:style w:type="character" w:customStyle="1" w:styleId="starpage">
    <w:name w:val="starpage"/>
    <w:basedOn w:val="DefaultParagraphFont"/>
  </w:style>
  <w:style w:type="character" w:customStyle="1" w:styleId="searchterm">
    <w:name w:val="searchterm"/>
    <w:basedOn w:val="DefaultParagraphFont"/>
  </w:style>
  <w:style w:type="paragraph" w:styleId="BodyTextIndent">
    <w:name w:val="Body Text Indent"/>
    <w:basedOn w:val="Normal"/>
    <w:pPr>
      <w:spacing w:after="120"/>
      <w:ind w:left="360"/>
    </w:pPr>
  </w:style>
  <w:style w:type="paragraph" w:styleId="List4">
    <w:name w:val="List 4"/>
    <w:basedOn w:val="Normal"/>
    <w:pPr>
      <w:ind w:left="1440" w:hanging="360"/>
    </w:pPr>
    <w:rPr>
      <w:rFonts w:ascii="Times New Roman" w:hAnsi="Times New Roman" w:cs="Times New Roman"/>
    </w:rPr>
  </w:style>
  <w:style w:type="paragraph" w:styleId="ListBullet5">
    <w:name w:val="List Bullet 5"/>
    <w:basedOn w:val="Normal"/>
    <w:autoRedefine/>
    <w:pPr>
      <w:numPr>
        <w:numId w:val="16"/>
      </w:numPr>
      <w:tabs>
        <w:tab w:val="clear" w:pos="2160"/>
      </w:tabs>
      <w:ind w:left="2520"/>
    </w:pPr>
    <w:rPr>
      <w:rFonts w:ascii="Times New Roman" w:hAnsi="Times New Roman" w:cs="Times New Roman"/>
    </w:rPr>
  </w:style>
  <w:style w:type="paragraph" w:styleId="List2">
    <w:name w:val="List 2"/>
    <w:basedOn w:val="Normal"/>
    <w:pPr>
      <w:ind w:left="720" w:hanging="360"/>
    </w:pPr>
    <w:rPr>
      <w:rFonts w:ascii="Times New Roman" w:hAnsi="Times New Roman" w:cs="Times New Roman"/>
    </w:rPr>
  </w:style>
  <w:style w:type="character" w:customStyle="1" w:styleId="searchterm1">
    <w:name w:val="searchterm1"/>
    <w:rPr>
      <w:b/>
      <w:bCs/>
      <w:shd w:val="clear" w:color="auto" w:fill="FFFF00"/>
    </w:rPr>
  </w:style>
  <w:style w:type="paragraph" w:styleId="ListContinue4">
    <w:name w:val="List Continue 4"/>
    <w:basedOn w:val="Normal"/>
    <w:pPr>
      <w:spacing w:after="120"/>
      <w:ind w:left="1440"/>
    </w:pPr>
    <w:rPr>
      <w:rFonts w:ascii="Times New Roman" w:hAnsi="Times New Roman" w:cs="Times New Roman"/>
    </w:rPr>
  </w:style>
  <w:style w:type="paragraph" w:styleId="BodyText2">
    <w:name w:val="Body Text 2"/>
    <w:basedOn w:val="Normal"/>
    <w:pPr>
      <w:spacing w:after="120" w:line="480" w:lineRule="auto"/>
    </w:pPr>
  </w:style>
  <w:style w:type="paragraph" w:styleId="BalloonText">
    <w:name w:val="Balloon Text"/>
    <w:basedOn w:val="Normal"/>
    <w:rPr>
      <w:rFonts w:ascii="Tahoma" w:hAnsi="Tahoma" w:cs="Tahoma"/>
      <w:sz w:val="16"/>
      <w:szCs w:val="16"/>
    </w:rPr>
  </w:style>
  <w:style w:type="character" w:customStyle="1" w:styleId="CharChar2">
    <w:name w:val="Char Char2"/>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CharChar1">
    <w:name w:val="Char Char1"/>
    <w:rPr>
      <w:rFonts w:ascii="Arial" w:hAnsi="Arial" w:cs="Arial"/>
      <w:sz w:val="24"/>
      <w:szCs w:val="24"/>
    </w:rPr>
  </w:style>
  <w:style w:type="paragraph" w:styleId="Footer">
    <w:name w:val="footer"/>
    <w:basedOn w:val="Normal"/>
    <w:link w:val="FooterChar"/>
    <w:uiPriority w:val="99"/>
    <w:pPr>
      <w:tabs>
        <w:tab w:val="center" w:pos="4680"/>
        <w:tab w:val="right" w:pos="9360"/>
      </w:tabs>
    </w:pPr>
  </w:style>
  <w:style w:type="character" w:customStyle="1" w:styleId="CharChar">
    <w:name w:val="Char Char"/>
    <w:rPr>
      <w:rFonts w:ascii="Arial" w:hAnsi="Arial" w:cs="Arial"/>
      <w:sz w:val="24"/>
      <w:szCs w:val="24"/>
    </w:rPr>
  </w:style>
  <w:style w:type="table" w:styleId="TableGrid">
    <w:name w:val="Table Grid"/>
    <w:basedOn w:val="TableNormal"/>
    <w:rsid w:val="006E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E1B"/>
    <w:pPr>
      <w:ind w:left="720"/>
    </w:pPr>
  </w:style>
  <w:style w:type="character" w:customStyle="1" w:styleId="UnresolvedMention">
    <w:name w:val="Unresolved Mention"/>
    <w:uiPriority w:val="99"/>
    <w:semiHidden/>
    <w:unhideWhenUsed/>
    <w:rsid w:val="00C63CBC"/>
    <w:rPr>
      <w:color w:val="605E5C"/>
      <w:shd w:val="clear" w:color="auto" w:fill="E1DFDD"/>
    </w:rPr>
  </w:style>
  <w:style w:type="character" w:customStyle="1" w:styleId="FooterChar">
    <w:name w:val="Footer Char"/>
    <w:basedOn w:val="DefaultParagraphFont"/>
    <w:link w:val="Footer"/>
    <w:uiPriority w:val="99"/>
    <w:rsid w:val="001A7A9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3">
    <w:name w:val="heading 3"/>
    <w:basedOn w:val="Normal"/>
    <w:qFormat/>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3">
    <w:name w:val="List 3"/>
    <w:basedOn w:val="Normal"/>
    <w:pPr>
      <w:ind w:left="1080" w:hanging="360"/>
    </w:pPr>
    <w:rPr>
      <w:rFonts w:ascii="Times New Roman" w:hAnsi="Times New Roman" w:cs="Times New Roman"/>
    </w:rPr>
  </w:style>
  <w:style w:type="paragraph" w:styleId="ListContinue2">
    <w:name w:val="List Continue 2"/>
    <w:basedOn w:val="Normal"/>
    <w:pPr>
      <w:spacing w:after="120"/>
      <w:ind w:left="720"/>
    </w:pPr>
    <w:rPr>
      <w:rFonts w:ascii="Times New Roman" w:hAnsi="Times New Roman" w:cs="Times New Roman"/>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overflowPunct w:val="0"/>
      <w:autoSpaceDE w:val="0"/>
      <w:autoSpaceDN w:val="0"/>
      <w:adjustRightInd w:val="0"/>
      <w:spacing w:after="120"/>
      <w:textAlignment w:val="baseline"/>
    </w:pPr>
    <w:rPr>
      <w:rFonts w:ascii="Times New Roman" w:hAnsi="Times New Roman" w:cs="Times New Roman"/>
      <w:szCs w:val="20"/>
    </w:rPr>
  </w:style>
  <w:style w:type="paragraph" w:styleId="Title">
    <w:name w:val="Title"/>
    <w:basedOn w:val="Normal"/>
    <w:qFormat/>
    <w:pPr>
      <w:overflowPunct w:val="0"/>
      <w:autoSpaceDE w:val="0"/>
      <w:autoSpaceDN w:val="0"/>
      <w:adjustRightInd w:val="0"/>
      <w:spacing w:before="240" w:after="60"/>
      <w:jc w:val="center"/>
      <w:textAlignment w:val="baseline"/>
    </w:pPr>
    <w:rPr>
      <w:rFonts w:cs="Times New Roman"/>
      <w:b/>
      <w:kern w:val="28"/>
      <w:sz w:val="32"/>
      <w:szCs w:val="20"/>
    </w:rPr>
  </w:style>
  <w:style w:type="paragraph" w:styleId="Subtitle">
    <w:name w:val="Subtitle"/>
    <w:basedOn w:val="Normal"/>
    <w:qFormat/>
    <w:pPr>
      <w:overflowPunct w:val="0"/>
      <w:autoSpaceDE w:val="0"/>
      <w:autoSpaceDN w:val="0"/>
      <w:adjustRightInd w:val="0"/>
      <w:spacing w:after="60"/>
      <w:jc w:val="center"/>
      <w:textAlignment w:val="baseline"/>
    </w:pPr>
    <w:rPr>
      <w:rFonts w:cs="Times New Roman"/>
      <w:i/>
      <w:szCs w:val="20"/>
    </w:rPr>
  </w:style>
  <w:style w:type="character" w:customStyle="1" w:styleId="starpage">
    <w:name w:val="starpage"/>
    <w:basedOn w:val="DefaultParagraphFont"/>
  </w:style>
  <w:style w:type="character" w:customStyle="1" w:styleId="searchterm">
    <w:name w:val="searchterm"/>
    <w:basedOn w:val="DefaultParagraphFont"/>
  </w:style>
  <w:style w:type="paragraph" w:styleId="BodyTextIndent">
    <w:name w:val="Body Text Indent"/>
    <w:basedOn w:val="Normal"/>
    <w:pPr>
      <w:spacing w:after="120"/>
      <w:ind w:left="360"/>
    </w:pPr>
  </w:style>
  <w:style w:type="paragraph" w:styleId="List4">
    <w:name w:val="List 4"/>
    <w:basedOn w:val="Normal"/>
    <w:pPr>
      <w:ind w:left="1440" w:hanging="360"/>
    </w:pPr>
    <w:rPr>
      <w:rFonts w:ascii="Times New Roman" w:hAnsi="Times New Roman" w:cs="Times New Roman"/>
    </w:rPr>
  </w:style>
  <w:style w:type="paragraph" w:styleId="ListBullet5">
    <w:name w:val="List Bullet 5"/>
    <w:basedOn w:val="Normal"/>
    <w:autoRedefine/>
    <w:pPr>
      <w:numPr>
        <w:numId w:val="16"/>
      </w:numPr>
      <w:tabs>
        <w:tab w:val="clear" w:pos="2160"/>
      </w:tabs>
      <w:ind w:left="2520"/>
    </w:pPr>
    <w:rPr>
      <w:rFonts w:ascii="Times New Roman" w:hAnsi="Times New Roman" w:cs="Times New Roman"/>
    </w:rPr>
  </w:style>
  <w:style w:type="paragraph" w:styleId="List2">
    <w:name w:val="List 2"/>
    <w:basedOn w:val="Normal"/>
    <w:pPr>
      <w:ind w:left="720" w:hanging="360"/>
    </w:pPr>
    <w:rPr>
      <w:rFonts w:ascii="Times New Roman" w:hAnsi="Times New Roman" w:cs="Times New Roman"/>
    </w:rPr>
  </w:style>
  <w:style w:type="character" w:customStyle="1" w:styleId="searchterm1">
    <w:name w:val="searchterm1"/>
    <w:rPr>
      <w:b/>
      <w:bCs/>
      <w:shd w:val="clear" w:color="auto" w:fill="FFFF00"/>
    </w:rPr>
  </w:style>
  <w:style w:type="paragraph" w:styleId="ListContinue4">
    <w:name w:val="List Continue 4"/>
    <w:basedOn w:val="Normal"/>
    <w:pPr>
      <w:spacing w:after="120"/>
      <w:ind w:left="1440"/>
    </w:pPr>
    <w:rPr>
      <w:rFonts w:ascii="Times New Roman" w:hAnsi="Times New Roman" w:cs="Times New Roman"/>
    </w:rPr>
  </w:style>
  <w:style w:type="paragraph" w:styleId="BodyText2">
    <w:name w:val="Body Text 2"/>
    <w:basedOn w:val="Normal"/>
    <w:pPr>
      <w:spacing w:after="120" w:line="480" w:lineRule="auto"/>
    </w:pPr>
  </w:style>
  <w:style w:type="paragraph" w:styleId="BalloonText">
    <w:name w:val="Balloon Text"/>
    <w:basedOn w:val="Normal"/>
    <w:rPr>
      <w:rFonts w:ascii="Tahoma" w:hAnsi="Tahoma" w:cs="Tahoma"/>
      <w:sz w:val="16"/>
      <w:szCs w:val="16"/>
    </w:rPr>
  </w:style>
  <w:style w:type="character" w:customStyle="1" w:styleId="CharChar2">
    <w:name w:val="Char Char2"/>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CharChar1">
    <w:name w:val="Char Char1"/>
    <w:rPr>
      <w:rFonts w:ascii="Arial" w:hAnsi="Arial" w:cs="Arial"/>
      <w:sz w:val="24"/>
      <w:szCs w:val="24"/>
    </w:rPr>
  </w:style>
  <w:style w:type="paragraph" w:styleId="Footer">
    <w:name w:val="footer"/>
    <w:basedOn w:val="Normal"/>
    <w:link w:val="FooterChar"/>
    <w:uiPriority w:val="99"/>
    <w:pPr>
      <w:tabs>
        <w:tab w:val="center" w:pos="4680"/>
        <w:tab w:val="right" w:pos="9360"/>
      </w:tabs>
    </w:pPr>
  </w:style>
  <w:style w:type="character" w:customStyle="1" w:styleId="CharChar">
    <w:name w:val="Char Char"/>
    <w:rPr>
      <w:rFonts w:ascii="Arial" w:hAnsi="Arial" w:cs="Arial"/>
      <w:sz w:val="24"/>
      <w:szCs w:val="24"/>
    </w:rPr>
  </w:style>
  <w:style w:type="table" w:styleId="TableGrid">
    <w:name w:val="Table Grid"/>
    <w:basedOn w:val="TableNormal"/>
    <w:rsid w:val="006E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E1B"/>
    <w:pPr>
      <w:ind w:left="720"/>
    </w:pPr>
  </w:style>
  <w:style w:type="character" w:customStyle="1" w:styleId="UnresolvedMention">
    <w:name w:val="Unresolved Mention"/>
    <w:uiPriority w:val="99"/>
    <w:semiHidden/>
    <w:unhideWhenUsed/>
    <w:rsid w:val="00C63CBC"/>
    <w:rPr>
      <w:color w:val="605E5C"/>
      <w:shd w:val="clear" w:color="auto" w:fill="E1DFDD"/>
    </w:rPr>
  </w:style>
  <w:style w:type="character" w:customStyle="1" w:styleId="FooterChar">
    <w:name w:val="Footer Char"/>
    <w:basedOn w:val="DefaultParagraphFont"/>
    <w:link w:val="Footer"/>
    <w:uiPriority w:val="99"/>
    <w:rsid w:val="001A7A9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99786">
      <w:bodyDiv w:val="1"/>
      <w:marLeft w:val="0"/>
      <w:marRight w:val="0"/>
      <w:marTop w:val="0"/>
      <w:marBottom w:val="0"/>
      <w:divBdr>
        <w:top w:val="none" w:sz="0" w:space="0" w:color="auto"/>
        <w:left w:val="none" w:sz="0" w:space="0" w:color="auto"/>
        <w:bottom w:val="none" w:sz="0" w:space="0" w:color="auto"/>
        <w:right w:val="none" w:sz="0" w:space="0" w:color="auto"/>
      </w:divBdr>
      <w:divsChild>
        <w:div w:id="1102412782">
          <w:marLeft w:val="0"/>
          <w:marRight w:val="0"/>
          <w:marTop w:val="0"/>
          <w:marBottom w:val="0"/>
          <w:divBdr>
            <w:top w:val="none" w:sz="0" w:space="0" w:color="auto"/>
            <w:left w:val="none" w:sz="0" w:space="0" w:color="auto"/>
            <w:bottom w:val="none" w:sz="0" w:space="0" w:color="auto"/>
            <w:right w:val="none" w:sz="0" w:space="0" w:color="auto"/>
          </w:divBdr>
          <w:divsChild>
            <w:div w:id="14433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2360">
      <w:bodyDiv w:val="1"/>
      <w:marLeft w:val="0"/>
      <w:marRight w:val="0"/>
      <w:marTop w:val="0"/>
      <w:marBottom w:val="0"/>
      <w:divBdr>
        <w:top w:val="none" w:sz="0" w:space="0" w:color="auto"/>
        <w:left w:val="none" w:sz="0" w:space="0" w:color="auto"/>
        <w:bottom w:val="none" w:sz="0" w:space="0" w:color="auto"/>
        <w:right w:val="none" w:sz="0" w:space="0" w:color="auto"/>
      </w:divBdr>
      <w:divsChild>
        <w:div w:id="990983726">
          <w:marLeft w:val="0"/>
          <w:marRight w:val="0"/>
          <w:marTop w:val="0"/>
          <w:marBottom w:val="0"/>
          <w:divBdr>
            <w:top w:val="none" w:sz="0" w:space="0" w:color="auto"/>
            <w:left w:val="none" w:sz="0" w:space="0" w:color="auto"/>
            <w:bottom w:val="none" w:sz="0" w:space="0" w:color="auto"/>
            <w:right w:val="none" w:sz="0" w:space="0" w:color="auto"/>
          </w:divBdr>
          <w:divsChild>
            <w:div w:id="322660425">
              <w:marLeft w:val="0"/>
              <w:marRight w:val="0"/>
              <w:marTop w:val="240"/>
              <w:marBottom w:val="0"/>
              <w:divBdr>
                <w:top w:val="none" w:sz="0" w:space="0" w:color="auto"/>
                <w:left w:val="none" w:sz="0" w:space="0" w:color="auto"/>
                <w:bottom w:val="none" w:sz="0" w:space="0" w:color="auto"/>
                <w:right w:val="none" w:sz="0" w:space="0" w:color="auto"/>
              </w:divBdr>
              <w:divsChild>
                <w:div w:id="222370134">
                  <w:marLeft w:val="0"/>
                  <w:marRight w:val="0"/>
                  <w:marTop w:val="0"/>
                  <w:marBottom w:val="0"/>
                  <w:divBdr>
                    <w:top w:val="none" w:sz="0" w:space="0" w:color="auto"/>
                    <w:left w:val="none" w:sz="0" w:space="0" w:color="auto"/>
                    <w:bottom w:val="none" w:sz="0" w:space="0" w:color="auto"/>
                    <w:right w:val="none" w:sz="0" w:space="0" w:color="auto"/>
                  </w:divBdr>
                </w:div>
              </w:divsChild>
            </w:div>
            <w:div w:id="863060056">
              <w:marLeft w:val="0"/>
              <w:marRight w:val="0"/>
              <w:marTop w:val="0"/>
              <w:marBottom w:val="0"/>
              <w:divBdr>
                <w:top w:val="none" w:sz="0" w:space="0" w:color="auto"/>
                <w:left w:val="none" w:sz="0" w:space="0" w:color="auto"/>
                <w:bottom w:val="none" w:sz="0" w:space="0" w:color="auto"/>
                <w:right w:val="none" w:sz="0" w:space="0" w:color="auto"/>
              </w:divBdr>
              <w:divsChild>
                <w:div w:id="1096439975">
                  <w:marLeft w:val="0"/>
                  <w:marRight w:val="0"/>
                  <w:marTop w:val="0"/>
                  <w:marBottom w:val="0"/>
                  <w:divBdr>
                    <w:top w:val="none" w:sz="0" w:space="0" w:color="auto"/>
                    <w:left w:val="none" w:sz="0" w:space="0" w:color="auto"/>
                    <w:bottom w:val="none" w:sz="0" w:space="0" w:color="auto"/>
                    <w:right w:val="none" w:sz="0" w:space="0" w:color="auto"/>
                  </w:divBdr>
                </w:div>
              </w:divsChild>
            </w:div>
            <w:div w:id="16033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520">
      <w:bodyDiv w:val="1"/>
      <w:marLeft w:val="0"/>
      <w:marRight w:val="0"/>
      <w:marTop w:val="0"/>
      <w:marBottom w:val="0"/>
      <w:divBdr>
        <w:top w:val="none" w:sz="0" w:space="0" w:color="auto"/>
        <w:left w:val="none" w:sz="0" w:space="0" w:color="auto"/>
        <w:bottom w:val="none" w:sz="0" w:space="0" w:color="auto"/>
        <w:right w:val="none" w:sz="0" w:space="0" w:color="auto"/>
      </w:divBdr>
    </w:div>
    <w:div w:id="892278625">
      <w:bodyDiv w:val="1"/>
      <w:marLeft w:val="0"/>
      <w:marRight w:val="0"/>
      <w:marTop w:val="0"/>
      <w:marBottom w:val="0"/>
      <w:divBdr>
        <w:top w:val="none" w:sz="0" w:space="0" w:color="auto"/>
        <w:left w:val="none" w:sz="0" w:space="0" w:color="auto"/>
        <w:bottom w:val="none" w:sz="0" w:space="0" w:color="auto"/>
        <w:right w:val="none" w:sz="0" w:space="0" w:color="auto"/>
      </w:divBdr>
      <w:divsChild>
        <w:div w:id="1741323848">
          <w:marLeft w:val="0"/>
          <w:marRight w:val="0"/>
          <w:marTop w:val="0"/>
          <w:marBottom w:val="0"/>
          <w:divBdr>
            <w:top w:val="none" w:sz="0" w:space="0" w:color="auto"/>
            <w:left w:val="none" w:sz="0" w:space="0" w:color="auto"/>
            <w:bottom w:val="none" w:sz="0" w:space="0" w:color="auto"/>
            <w:right w:val="none" w:sz="0" w:space="0" w:color="auto"/>
          </w:divBdr>
          <w:divsChild>
            <w:div w:id="14230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8973">
      <w:bodyDiv w:val="1"/>
      <w:marLeft w:val="0"/>
      <w:marRight w:val="0"/>
      <w:marTop w:val="0"/>
      <w:marBottom w:val="0"/>
      <w:divBdr>
        <w:top w:val="none" w:sz="0" w:space="0" w:color="auto"/>
        <w:left w:val="none" w:sz="0" w:space="0" w:color="auto"/>
        <w:bottom w:val="none" w:sz="0" w:space="0" w:color="auto"/>
        <w:right w:val="none" w:sz="0" w:space="0" w:color="auto"/>
      </w:divBdr>
      <w:divsChild>
        <w:div w:id="1569488236">
          <w:marLeft w:val="0"/>
          <w:marRight w:val="0"/>
          <w:marTop w:val="0"/>
          <w:marBottom w:val="0"/>
          <w:divBdr>
            <w:top w:val="none" w:sz="0" w:space="0" w:color="auto"/>
            <w:left w:val="none" w:sz="0" w:space="0" w:color="auto"/>
            <w:bottom w:val="none" w:sz="0" w:space="0" w:color="auto"/>
            <w:right w:val="none" w:sz="0" w:space="0" w:color="auto"/>
          </w:divBdr>
          <w:divsChild>
            <w:div w:id="4892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999">
      <w:bodyDiv w:val="1"/>
      <w:marLeft w:val="0"/>
      <w:marRight w:val="0"/>
      <w:marTop w:val="0"/>
      <w:marBottom w:val="0"/>
      <w:divBdr>
        <w:top w:val="none" w:sz="0" w:space="0" w:color="auto"/>
        <w:left w:val="none" w:sz="0" w:space="0" w:color="auto"/>
        <w:bottom w:val="none" w:sz="0" w:space="0" w:color="auto"/>
        <w:right w:val="none" w:sz="0" w:space="0" w:color="auto"/>
      </w:divBdr>
      <w:divsChild>
        <w:div w:id="1618832877">
          <w:marLeft w:val="0"/>
          <w:marRight w:val="0"/>
          <w:marTop w:val="0"/>
          <w:marBottom w:val="0"/>
          <w:divBdr>
            <w:top w:val="none" w:sz="0" w:space="0" w:color="auto"/>
            <w:left w:val="none" w:sz="0" w:space="0" w:color="auto"/>
            <w:bottom w:val="none" w:sz="0" w:space="0" w:color="auto"/>
            <w:right w:val="none" w:sz="0" w:space="0" w:color="auto"/>
          </w:divBdr>
          <w:divsChild>
            <w:div w:id="513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271">
      <w:bodyDiv w:val="1"/>
      <w:marLeft w:val="0"/>
      <w:marRight w:val="0"/>
      <w:marTop w:val="0"/>
      <w:marBottom w:val="0"/>
      <w:divBdr>
        <w:top w:val="none" w:sz="0" w:space="0" w:color="auto"/>
        <w:left w:val="none" w:sz="0" w:space="0" w:color="auto"/>
        <w:bottom w:val="none" w:sz="0" w:space="0" w:color="auto"/>
        <w:right w:val="none" w:sz="0" w:space="0" w:color="auto"/>
      </w:divBdr>
    </w:div>
    <w:div w:id="1737698619">
      <w:bodyDiv w:val="1"/>
      <w:marLeft w:val="0"/>
      <w:marRight w:val="0"/>
      <w:marTop w:val="0"/>
      <w:marBottom w:val="0"/>
      <w:divBdr>
        <w:top w:val="none" w:sz="0" w:space="0" w:color="auto"/>
        <w:left w:val="none" w:sz="0" w:space="0" w:color="auto"/>
        <w:bottom w:val="none" w:sz="0" w:space="0" w:color="auto"/>
        <w:right w:val="none" w:sz="0" w:space="0" w:color="auto"/>
      </w:divBdr>
      <w:divsChild>
        <w:div w:id="2128431739">
          <w:marLeft w:val="0"/>
          <w:marRight w:val="0"/>
          <w:marTop w:val="0"/>
          <w:marBottom w:val="0"/>
          <w:divBdr>
            <w:top w:val="none" w:sz="0" w:space="0" w:color="auto"/>
            <w:left w:val="none" w:sz="0" w:space="0" w:color="auto"/>
            <w:bottom w:val="none" w:sz="0" w:space="0" w:color="auto"/>
            <w:right w:val="none" w:sz="0" w:space="0" w:color="auto"/>
          </w:divBdr>
          <w:divsChild>
            <w:div w:id="5570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41">
      <w:bodyDiv w:val="1"/>
      <w:marLeft w:val="0"/>
      <w:marRight w:val="0"/>
      <w:marTop w:val="0"/>
      <w:marBottom w:val="0"/>
      <w:divBdr>
        <w:top w:val="none" w:sz="0" w:space="0" w:color="auto"/>
        <w:left w:val="none" w:sz="0" w:space="0" w:color="auto"/>
        <w:bottom w:val="none" w:sz="0" w:space="0" w:color="auto"/>
        <w:right w:val="none" w:sz="0" w:space="0" w:color="auto"/>
      </w:divBdr>
      <w:divsChild>
        <w:div w:id="1642924609">
          <w:marLeft w:val="0"/>
          <w:marRight w:val="0"/>
          <w:marTop w:val="0"/>
          <w:marBottom w:val="0"/>
          <w:divBdr>
            <w:top w:val="none" w:sz="0" w:space="0" w:color="auto"/>
            <w:left w:val="none" w:sz="0" w:space="0" w:color="auto"/>
            <w:bottom w:val="none" w:sz="0" w:space="0" w:color="auto"/>
            <w:right w:val="none" w:sz="0" w:space="0" w:color="auto"/>
          </w:divBdr>
          <w:divsChild>
            <w:div w:id="4401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https://regionalchange.ucdavis.edu/publication/water-jus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8870A-3F70-4D11-A345-A12C9064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California Emergency Services Act (Gov</vt:lpstr>
    </vt:vector>
  </TitlesOfParts>
  <Company>SWRCB</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Emergency Services Act (Gov</dc:title>
  <dc:creator>Andy Sawyer</dc:creator>
  <cp:lastModifiedBy>Andy</cp:lastModifiedBy>
  <cp:revision>9</cp:revision>
  <dcterms:created xsi:type="dcterms:W3CDTF">2020-01-19T15:45:00Z</dcterms:created>
  <dcterms:modified xsi:type="dcterms:W3CDTF">2020-01-19T16:57:00Z</dcterms:modified>
</cp:coreProperties>
</file>