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55" w:rsidRDefault="00BB68B9">
      <w:pPr>
        <w:pStyle w:val="Subtitle"/>
      </w:pPr>
      <w:bookmarkStart w:id="0" w:name="_GoBack"/>
      <w:bookmarkEnd w:id="0"/>
      <w:r>
        <w:rPr>
          <w:b/>
          <w:i w:val="0"/>
          <w:iCs/>
          <w:kern w:val="28"/>
          <w:sz w:val="32"/>
        </w:rPr>
        <w:t>Interconnected Groundwater and Surface Water Under the Sustainable Groundwater Management Act</w:t>
      </w:r>
    </w:p>
    <w:p w:rsidR="002D5F55" w:rsidRDefault="002D5F55">
      <w:pPr>
        <w:pStyle w:val="Subtitle"/>
      </w:pPr>
      <w:r>
        <w:t>By Andrew H. Sawyer</w:t>
      </w:r>
      <w:r>
        <w:rPr>
          <w:rStyle w:val="FootnoteReference"/>
        </w:rPr>
        <w:footnoteReference w:customMarkFollows="1" w:id="1"/>
        <w:t>*</w:t>
      </w:r>
    </w:p>
    <w:p w:rsidR="00D72C4C" w:rsidRDefault="00D72C4C" w:rsidP="00D72C4C">
      <w:pPr>
        <w:ind w:left="720"/>
      </w:pPr>
    </w:p>
    <w:p w:rsidR="00D72C4C" w:rsidRDefault="00D72C4C" w:rsidP="00D72C4C">
      <w:pPr>
        <w:ind w:left="720"/>
      </w:pPr>
    </w:p>
    <w:p w:rsidR="002D5F55" w:rsidRPr="00D72C4C" w:rsidRDefault="00D72C4C" w:rsidP="00D72C4C">
      <w:pPr>
        <w:ind w:left="720"/>
      </w:pPr>
      <w:r>
        <w:t>“Man has coped with the complexity of water by trying to compartmentalize it. The partition committed by hydrologists—into ground water, soil water, surface water, for instance—is as nothing compared with that which has been promulgated by the legal profession . . . . [A]</w:t>
      </w:r>
      <w:proofErr w:type="spellStart"/>
      <w:r>
        <w:t>ll</w:t>
      </w:r>
      <w:proofErr w:type="spellEnd"/>
      <w:r>
        <w:t xml:space="preserve"> these waters are actually interrelated and interdependent . . . .” (Thomas &amp; Leopold, </w:t>
      </w:r>
      <w:r>
        <w:rPr>
          <w:i/>
        </w:rPr>
        <w:t xml:space="preserve">Ground Water in North America </w:t>
      </w:r>
      <w:r>
        <w:t>(1964) 143 Science 1001, 1003.)</w:t>
      </w:r>
    </w:p>
    <w:p w:rsidR="00D72C4C" w:rsidRDefault="00D72C4C" w:rsidP="00E44496">
      <w:pPr>
        <w:ind w:left="720"/>
      </w:pPr>
    </w:p>
    <w:p w:rsidR="00F052A6" w:rsidRDefault="00F052A6" w:rsidP="00F052A6">
      <w:pPr>
        <w:ind w:left="720"/>
        <w:rPr>
          <w:color w:val="000000"/>
        </w:rPr>
      </w:pPr>
      <w:r w:rsidRPr="00F052A6">
        <w:rPr>
          <w:color w:val="000000"/>
        </w:rPr>
        <w:t>“</w:t>
      </w:r>
      <w:r>
        <w:rPr>
          <w:color w:val="000000"/>
        </w:rPr>
        <w:t>’</w:t>
      </w:r>
      <w:r w:rsidRPr="00F052A6">
        <w:rPr>
          <w:color w:val="000000"/>
        </w:rPr>
        <w:t>Undesirable result</w:t>
      </w:r>
      <w:r>
        <w:rPr>
          <w:color w:val="000000"/>
        </w:rPr>
        <w:t>’</w:t>
      </w:r>
      <w:r w:rsidRPr="00F052A6">
        <w:rPr>
          <w:color w:val="000000"/>
        </w:rPr>
        <w:t xml:space="preserve"> means one or more of the following effects caused by groundwater conditions</w:t>
      </w:r>
      <w:r>
        <w:rPr>
          <w:color w:val="000000"/>
        </w:rPr>
        <w:t xml:space="preserve"> . . . : </w:t>
      </w:r>
      <w:r w:rsidRPr="00F052A6">
        <w:rPr>
          <w:color w:val="000000"/>
        </w:rPr>
        <w:t>(6) Depletions of interconnected surface water that have significant and unreasonable adverse impacts on beneficial uses of the surface water.</w:t>
      </w:r>
      <w:r>
        <w:rPr>
          <w:color w:val="000000"/>
        </w:rPr>
        <w:t>” (Wat. Code, § 10721, subd. (x).) “</w:t>
      </w:r>
      <w:r w:rsidRPr="00F052A6">
        <w:rPr>
          <w:color w:val="000000"/>
        </w:rPr>
        <w:t>The plan may, but is not required to, address undesirable results that occurred before, and have not been corrected by, January 1, 2015.</w:t>
      </w:r>
      <w:r>
        <w:rPr>
          <w:color w:val="000000"/>
        </w:rPr>
        <w:t>” (</w:t>
      </w:r>
      <w:r>
        <w:rPr>
          <w:i/>
          <w:color w:val="000000"/>
        </w:rPr>
        <w:t>Id.</w:t>
      </w:r>
      <w:r>
        <w:rPr>
          <w:color w:val="000000"/>
        </w:rPr>
        <w:t>, § 10727.2, subd. (b)(4).)</w:t>
      </w:r>
    </w:p>
    <w:p w:rsidR="00F052A6" w:rsidRDefault="00F052A6" w:rsidP="00F052A6">
      <w:pPr>
        <w:ind w:left="720"/>
        <w:rPr>
          <w:color w:val="000000"/>
        </w:rPr>
      </w:pPr>
      <w:r>
        <w:rPr>
          <w:color w:val="000000"/>
        </w:rPr>
        <w:t xml:space="preserve"> </w:t>
      </w:r>
    </w:p>
    <w:p w:rsidR="00F052A6" w:rsidRPr="00BB68B9" w:rsidRDefault="00F052A6" w:rsidP="00F052A6">
      <w:pPr>
        <w:ind w:left="720"/>
        <w:rPr>
          <w:color w:val="000000"/>
        </w:rPr>
      </w:pPr>
      <w:r>
        <w:rPr>
          <w:color w:val="000000"/>
        </w:rPr>
        <w:t>“</w:t>
      </w:r>
      <w:r w:rsidRPr="00F052A6">
        <w:rPr>
          <w:color w:val="000000"/>
        </w:rPr>
        <w:t>We reject</w:t>
      </w:r>
      <w:r>
        <w:rPr>
          <w:color w:val="000000"/>
        </w:rPr>
        <w:t xml:space="preserve"> . . . </w:t>
      </w:r>
      <w:r w:rsidRPr="00F052A6">
        <w:rPr>
          <w:color w:val="000000"/>
        </w:rPr>
        <w:t xml:space="preserve">the </w:t>
      </w:r>
      <w:r>
        <w:rPr>
          <w:color w:val="000000"/>
        </w:rPr>
        <w:t xml:space="preserve"> . . . </w:t>
      </w:r>
      <w:r w:rsidRPr="00F052A6">
        <w:rPr>
          <w:color w:val="000000"/>
        </w:rPr>
        <w:t>position that because SGMA</w:t>
      </w:r>
      <w:r w:rsidR="00FD6CAB">
        <w:rPr>
          <w:color w:val="000000"/>
        </w:rPr>
        <w:t xml:space="preserve"> [the Sustainable Groundwater Management Act]</w:t>
      </w:r>
      <w:r w:rsidRPr="00F052A6">
        <w:rPr>
          <w:color w:val="000000"/>
        </w:rPr>
        <w:t xml:space="preserve"> is comprehensive it occupies the field and supplants the common law. But even if the legislation was deemed comprehensive</w:t>
      </w:r>
      <w:r>
        <w:rPr>
          <w:color w:val="000000"/>
        </w:rPr>
        <w:t xml:space="preserve"> . . . </w:t>
      </w:r>
      <w:r w:rsidRPr="00F052A6">
        <w:rPr>
          <w:color w:val="000000"/>
        </w:rPr>
        <w:t>the two systems can live in harmony. If the expansive and historically rooted appropriative rights system in California did not subsume or eliminate the public trust doctrine in the state, then certainly SGMA, a more narrowly tailored piece of legislation, can also accommodate the perpetuation of the public trust doctrine.</w:t>
      </w:r>
      <w:r>
        <w:rPr>
          <w:color w:val="000000"/>
        </w:rPr>
        <w:t>” (</w:t>
      </w:r>
      <w:r w:rsidRPr="00F052A6">
        <w:rPr>
          <w:i/>
          <w:color w:val="000000"/>
        </w:rPr>
        <w:t>Environmental Law Foundation v. State Water Resources Control Bd.</w:t>
      </w:r>
      <w:r w:rsidRPr="00F052A6">
        <w:rPr>
          <w:color w:val="000000"/>
        </w:rPr>
        <w:t xml:space="preserve"> (2018) 26 Cal.App.5th 844, 866</w:t>
      </w:r>
      <w:r>
        <w:rPr>
          <w:color w:val="000000"/>
        </w:rPr>
        <w:t>.)</w:t>
      </w:r>
    </w:p>
    <w:p w:rsidR="00017372" w:rsidRDefault="00017372" w:rsidP="00E749C6">
      <w:pPr>
        <w:pStyle w:val="ListContinue2"/>
        <w:spacing w:after="0"/>
        <w:rPr>
          <w:rFonts w:ascii="Arial" w:hAnsi="Arial" w:cs="Arial"/>
        </w:rPr>
      </w:pPr>
    </w:p>
    <w:p w:rsidR="002D5F55" w:rsidRDefault="000C0538" w:rsidP="000C0538">
      <w:pPr>
        <w:pStyle w:val="List3"/>
        <w:ind w:left="360"/>
        <w:rPr>
          <w:rFonts w:ascii="Arial" w:hAnsi="Arial" w:cs="Arial"/>
        </w:rPr>
      </w:pPr>
      <w:r>
        <w:rPr>
          <w:rFonts w:ascii="Arial" w:hAnsi="Arial" w:cs="Arial"/>
        </w:rPr>
        <w:t>I</w:t>
      </w:r>
      <w:r w:rsidR="002D5F55">
        <w:rPr>
          <w:rFonts w:ascii="Arial" w:hAnsi="Arial" w:cs="Arial"/>
        </w:rPr>
        <w:t>.</w:t>
      </w:r>
      <w:r w:rsidR="002D5F55">
        <w:rPr>
          <w:rFonts w:ascii="Arial" w:hAnsi="Arial" w:cs="Arial"/>
        </w:rPr>
        <w:tab/>
        <w:t xml:space="preserve">Common Law </w:t>
      </w:r>
      <w:r w:rsidR="00B27104">
        <w:rPr>
          <w:rFonts w:ascii="Arial" w:hAnsi="Arial" w:cs="Arial"/>
        </w:rPr>
        <w:t xml:space="preserve">Water </w:t>
      </w:r>
      <w:r w:rsidR="002D5F55">
        <w:rPr>
          <w:rFonts w:ascii="Arial" w:hAnsi="Arial" w:cs="Arial"/>
        </w:rPr>
        <w:t>Rights</w:t>
      </w:r>
      <w:r w:rsidR="001E6BDB">
        <w:rPr>
          <w:rFonts w:ascii="Arial" w:hAnsi="Arial" w:cs="Arial"/>
        </w:rPr>
        <w:t xml:space="preserve"> to Groundwater</w:t>
      </w:r>
    </w:p>
    <w:p w:rsidR="000C0538" w:rsidRDefault="000C0538" w:rsidP="000C0538">
      <w:pPr>
        <w:pStyle w:val="List3"/>
        <w:ind w:left="360"/>
        <w:rPr>
          <w:rFonts w:ascii="Arial" w:hAnsi="Arial" w:cs="Arial"/>
        </w:rPr>
      </w:pPr>
    </w:p>
    <w:p w:rsidR="00DC2F4D" w:rsidRDefault="000C0538" w:rsidP="007F1671">
      <w:pPr>
        <w:pStyle w:val="List3"/>
        <w:ind w:left="720"/>
        <w:rPr>
          <w:rFonts w:ascii="Arial" w:hAnsi="Arial" w:cs="Arial"/>
        </w:rPr>
      </w:pPr>
      <w:r>
        <w:rPr>
          <w:rFonts w:ascii="Arial" w:hAnsi="Arial" w:cs="Arial"/>
        </w:rPr>
        <w:t xml:space="preserve">A. </w:t>
      </w:r>
      <w:r>
        <w:rPr>
          <w:rFonts w:ascii="Arial" w:hAnsi="Arial" w:cs="Arial"/>
        </w:rPr>
        <w:tab/>
        <w:t>California initially adopted the law of capture, or absolute ownership rule, based on the English common</w:t>
      </w:r>
      <w:r w:rsidR="007A197C">
        <w:rPr>
          <w:rFonts w:ascii="Arial" w:hAnsi="Arial" w:cs="Arial"/>
        </w:rPr>
        <w:t xml:space="preserve"> law</w:t>
      </w:r>
      <w:r>
        <w:rPr>
          <w:rFonts w:ascii="Arial" w:hAnsi="Arial" w:cs="Arial"/>
        </w:rPr>
        <w:t>.  (</w:t>
      </w:r>
      <w:r w:rsidR="00D13758" w:rsidRPr="00DC2F4D">
        <w:rPr>
          <w:rFonts w:ascii="Arial" w:hAnsi="Arial" w:cs="Arial"/>
          <w:i/>
        </w:rPr>
        <w:t>Hanson v. McCue</w:t>
      </w:r>
      <w:r w:rsidR="00D13758" w:rsidRPr="00DC2F4D">
        <w:rPr>
          <w:rFonts w:ascii="Arial" w:hAnsi="Arial" w:cs="Arial"/>
        </w:rPr>
        <w:t xml:space="preserve"> (1871) 42 Cal. 303, 309-10</w:t>
      </w:r>
      <w:r w:rsidR="00D13758">
        <w:rPr>
          <w:rFonts w:ascii="Arial" w:hAnsi="Arial" w:cs="Arial"/>
        </w:rPr>
        <w:t xml:space="preserve"> [absolute right of landowner to extract groundwater, so long as extractions are not malicious] [dicta]; see </w:t>
      </w:r>
      <w:r w:rsidRPr="000C0538">
        <w:rPr>
          <w:rFonts w:ascii="Arial" w:hAnsi="Arial" w:cs="Arial"/>
          <w:i/>
        </w:rPr>
        <w:t>Gould v. Eaton</w:t>
      </w:r>
      <w:r w:rsidRPr="000C0538">
        <w:rPr>
          <w:rFonts w:ascii="Arial" w:hAnsi="Arial" w:cs="Arial"/>
        </w:rPr>
        <w:t xml:space="preserve"> (1896) 111 Cal. 639, 644-45</w:t>
      </w:r>
      <w:r w:rsidR="007A197C">
        <w:rPr>
          <w:rFonts w:ascii="Arial" w:hAnsi="Arial" w:cs="Arial"/>
        </w:rPr>
        <w:t xml:space="preserve"> [recognizing absolute ownership, notwithstanding harm to party with water rights to interconnected surface waters cause by groundwater extractions]</w:t>
      </w:r>
      <w:r w:rsidR="00DC2F4D">
        <w:rPr>
          <w:rFonts w:ascii="Arial" w:hAnsi="Arial" w:cs="Arial"/>
        </w:rPr>
        <w:t>.</w:t>
      </w:r>
      <w:r w:rsidR="007A197C">
        <w:rPr>
          <w:rFonts w:ascii="Arial" w:hAnsi="Arial" w:cs="Arial"/>
        </w:rPr>
        <w:t>)</w:t>
      </w:r>
    </w:p>
    <w:p w:rsidR="00D13758" w:rsidRDefault="00D13758" w:rsidP="007A197C">
      <w:pPr>
        <w:pStyle w:val="List3"/>
        <w:ind w:left="360"/>
        <w:rPr>
          <w:rFonts w:ascii="Arial" w:hAnsi="Arial" w:cs="Arial"/>
        </w:rPr>
      </w:pPr>
    </w:p>
    <w:p w:rsidR="00D13758" w:rsidRDefault="00D13758" w:rsidP="007F1671">
      <w:pPr>
        <w:spacing w:after="240"/>
        <w:ind w:left="720" w:hanging="360"/>
      </w:pPr>
      <w:r>
        <w:lastRenderedPageBreak/>
        <w:t xml:space="preserve">B.  </w:t>
      </w:r>
      <w:r w:rsidR="00133332">
        <w:t xml:space="preserve">In </w:t>
      </w:r>
      <w:r w:rsidR="00133332">
        <w:rPr>
          <w:i/>
        </w:rPr>
        <w:t xml:space="preserve">Katz v. Walkinshaw </w:t>
      </w:r>
      <w:r w:rsidR="00133332">
        <w:t>(1903) 141 Cal. 116, t</w:t>
      </w:r>
      <w:r>
        <w:t>he California Supreme Court rejected the absolute ownership rule, and replaced it with a rule of correlative rights among overlying land owners.</w:t>
      </w:r>
      <w:r w:rsidR="00133332">
        <w:t xml:space="preserve"> (141 Cal. at pp. 121-136; see </w:t>
      </w:r>
      <w:r w:rsidR="00133332">
        <w:rPr>
          <w:i/>
        </w:rPr>
        <w:t xml:space="preserve">id. </w:t>
      </w:r>
      <w:r w:rsidR="00133332">
        <w:t>at pp. 135-136 [principles of prior appropriation will apply to extractions for use on non-overlying land].)</w:t>
      </w:r>
      <w:r w:rsidR="00133332" w:rsidRPr="00D13758">
        <w:t xml:space="preserve"> </w:t>
      </w:r>
    </w:p>
    <w:p w:rsidR="00133332" w:rsidRDefault="00133332" w:rsidP="007F1671">
      <w:pPr>
        <w:spacing w:after="240"/>
        <w:ind w:left="720" w:hanging="360"/>
      </w:pPr>
      <w:r>
        <w:t>C.</w:t>
      </w:r>
      <w:r>
        <w:tab/>
        <w:t xml:space="preserve">In </w:t>
      </w:r>
      <w:r>
        <w:rPr>
          <w:i/>
        </w:rPr>
        <w:t xml:space="preserve">Hudson v. Dailey </w:t>
      </w:r>
      <w:r>
        <w:t>(1909)</w:t>
      </w:r>
      <w:r w:rsidR="00B27104">
        <w:t xml:space="preserve"> 156 Cal. 617,</w:t>
      </w:r>
      <w:r>
        <w:t xml:space="preserve"> the California Supreme Court rejected the distinction between percolating groundwater and stream flow. </w:t>
      </w:r>
      <w:r w:rsidR="00B27104">
        <w:t xml:space="preserve"> (</w:t>
      </w:r>
      <w:r w:rsidR="00B27104">
        <w:rPr>
          <w:i/>
        </w:rPr>
        <w:t xml:space="preserve">Id. </w:t>
      </w:r>
      <w:r w:rsidR="00B27104">
        <w:t xml:space="preserve">at p. 628.)  </w:t>
      </w:r>
      <w:r w:rsidRPr="00133332">
        <w:t>Where groundwater and surface waters are interconnected, the “common source” or “correlative rights” doctrine applies, integrating the water rights and applying priorities without regard to whether the diversion is from surface or groundwater. (</w:t>
      </w:r>
      <w:r w:rsidR="00B27104">
        <w:rPr>
          <w:i/>
        </w:rPr>
        <w:t xml:space="preserve">Id. </w:t>
      </w:r>
      <w:r w:rsidR="00B27104">
        <w:t xml:space="preserve">at pp </w:t>
      </w:r>
      <w:r w:rsidRPr="00133332">
        <w:t>627–628.)</w:t>
      </w:r>
    </w:p>
    <w:p w:rsidR="002D5F55" w:rsidRDefault="00B27104" w:rsidP="007F1671">
      <w:pPr>
        <w:spacing w:after="240"/>
        <w:ind w:left="720" w:hanging="360"/>
      </w:pPr>
      <w:r>
        <w:t xml:space="preserve">D.  </w:t>
      </w:r>
      <w:r w:rsidR="002D5F55">
        <w:t>Case law recognizes overlying and appropriative rights to groundwater, analogous to riparian and appropriative rights to surface water.  (</w:t>
      </w:r>
      <w:r w:rsidR="002D5F55">
        <w:rPr>
          <w:i/>
        </w:rPr>
        <w:t>City of Barstow v. Mojave Water Agency</w:t>
      </w:r>
      <w:r w:rsidR="002D5F55">
        <w:t xml:space="preserve"> (2000) 23 Cal.4th 1224, 1240; see also </w:t>
      </w:r>
      <w:r w:rsidR="002D5F55">
        <w:rPr>
          <w:i/>
        </w:rPr>
        <w:t>Katz v. Walkinshaw</w:t>
      </w:r>
      <w:r w:rsidR="002D5F55">
        <w:t> (1903) 141 Cal. 116, 135</w:t>
      </w:r>
      <w:r w:rsidR="006606FB">
        <w:t>–</w:t>
      </w:r>
      <w:r w:rsidR="002D5F55">
        <w:t>136.)</w:t>
      </w:r>
    </w:p>
    <w:p w:rsidR="002D5F55" w:rsidRDefault="00B27104" w:rsidP="00B27104">
      <w:pPr>
        <w:pStyle w:val="List3"/>
        <w:rPr>
          <w:rFonts w:ascii="Arial" w:hAnsi="Arial" w:cs="Arial"/>
        </w:rPr>
      </w:pPr>
      <w:r>
        <w:rPr>
          <w:rFonts w:ascii="Arial" w:hAnsi="Arial" w:cs="Arial"/>
        </w:rPr>
        <w:t>1</w:t>
      </w:r>
      <w:r w:rsidR="002D5F55">
        <w:rPr>
          <w:rFonts w:ascii="Arial" w:hAnsi="Arial" w:cs="Arial"/>
        </w:rPr>
        <w:t>.  Lands overlying a groundwater basin have overlying rights to the safe yield of the basin.  Safe yield is the amount that can be pumped annually without causing an undesirable effect such as declining groundwater levels or land subsidence.  Overlying rights are correlative, shared by the owners.</w:t>
      </w:r>
    </w:p>
    <w:p w:rsidR="002D5F55" w:rsidRDefault="002D5F55">
      <w:pPr>
        <w:pStyle w:val="List3"/>
        <w:ind w:left="1440"/>
        <w:rPr>
          <w:rFonts w:ascii="Arial" w:hAnsi="Arial" w:cs="Arial"/>
        </w:rPr>
      </w:pPr>
    </w:p>
    <w:p w:rsidR="002D5F55" w:rsidRDefault="00B27104" w:rsidP="00B27104">
      <w:pPr>
        <w:pStyle w:val="List3"/>
        <w:rPr>
          <w:rFonts w:ascii="Arial" w:hAnsi="Arial" w:cs="Arial"/>
        </w:rPr>
      </w:pPr>
      <w:r>
        <w:rPr>
          <w:rFonts w:ascii="Arial" w:hAnsi="Arial" w:cs="Arial"/>
        </w:rPr>
        <w:t>2.</w:t>
      </w:r>
      <w:r w:rsidR="002D5F55">
        <w:rPr>
          <w:rFonts w:ascii="Arial" w:hAnsi="Arial" w:cs="Arial"/>
        </w:rPr>
        <w:t xml:space="preserve">  If there is a surplus after overlying needs are met, appropriative rights may allow water to be taken for use on lands not overlying the basin.  Municipal uses are also considered appropriative.  Appropriative rights holders have “first in time” priority among themselves, but have lower priority than holders of overlying rights.</w:t>
      </w:r>
    </w:p>
    <w:p w:rsidR="002D5F55" w:rsidRDefault="002D5F55">
      <w:pPr>
        <w:pStyle w:val="List3"/>
        <w:ind w:left="1440"/>
        <w:rPr>
          <w:rFonts w:ascii="Arial" w:hAnsi="Arial" w:cs="Arial"/>
        </w:rPr>
      </w:pPr>
    </w:p>
    <w:p w:rsidR="002D5F55" w:rsidRDefault="00B27104" w:rsidP="00B27104">
      <w:pPr>
        <w:pStyle w:val="List3"/>
      </w:pPr>
      <w:r>
        <w:rPr>
          <w:rFonts w:ascii="Arial" w:hAnsi="Arial" w:cs="Arial"/>
        </w:rPr>
        <w:t>3.</w:t>
      </w:r>
      <w:r w:rsidR="002D5F55">
        <w:rPr>
          <w:rFonts w:ascii="Arial" w:hAnsi="Arial" w:cs="Arial"/>
        </w:rPr>
        <w:t xml:space="preserve">  Prescriptive rights may be gained under some circumstances by using water belonging to another during five consecutive years</w:t>
      </w:r>
      <w:r w:rsidR="00EC14A6">
        <w:rPr>
          <w:rFonts w:ascii="Arial" w:hAnsi="Arial" w:cs="Arial"/>
        </w:rPr>
        <w:t xml:space="preserve"> </w:t>
      </w:r>
      <w:r w:rsidR="002D5F55">
        <w:rPr>
          <w:rFonts w:ascii="Arial" w:hAnsi="Arial" w:cs="Arial"/>
        </w:rPr>
        <w:t>of overdraft (basin pumping exceeding safe yield), but a prescriptive right cannot be acquired against a public entity or public utility.  (</w:t>
      </w:r>
      <w:r w:rsidR="002D5F55">
        <w:rPr>
          <w:rFonts w:ascii="Arial" w:hAnsi="Arial" w:cs="Arial"/>
          <w:i/>
        </w:rPr>
        <w:t>City of Los Angeles v. City of San Fernando</w:t>
      </w:r>
      <w:r w:rsidR="00EC14A6">
        <w:rPr>
          <w:rFonts w:ascii="Arial" w:hAnsi="Arial" w:cs="Arial"/>
          <w:i/>
        </w:rPr>
        <w:t xml:space="preserve"> </w:t>
      </w:r>
      <w:r w:rsidR="002D5F55">
        <w:rPr>
          <w:rFonts w:ascii="Arial" w:hAnsi="Arial" w:cs="Arial"/>
        </w:rPr>
        <w:t>(1975) 14 Cal.3d 199, 270</w:t>
      </w:r>
      <w:r w:rsidR="006606FB">
        <w:rPr>
          <w:rFonts w:ascii="Arial" w:hAnsi="Arial" w:cs="Arial"/>
        </w:rPr>
        <w:t>–</w:t>
      </w:r>
      <w:r w:rsidR="002D5F55">
        <w:rPr>
          <w:rFonts w:ascii="Arial" w:hAnsi="Arial" w:cs="Arial"/>
        </w:rPr>
        <w:t>286.)</w:t>
      </w:r>
      <w:r w:rsidR="002D5F55">
        <w:t xml:space="preserve"> </w:t>
      </w:r>
    </w:p>
    <w:p w:rsidR="002D5F55" w:rsidRDefault="002D5F55">
      <w:pPr>
        <w:pStyle w:val="List3"/>
        <w:ind w:left="1800"/>
        <w:rPr>
          <w:rFonts w:ascii="Arial" w:hAnsi="Arial" w:cs="Arial"/>
        </w:rPr>
      </w:pPr>
    </w:p>
    <w:p w:rsidR="007F1671" w:rsidRPr="007F1671" w:rsidRDefault="007F1671" w:rsidP="007F1671">
      <w:pPr>
        <w:ind w:left="720" w:hanging="360"/>
      </w:pPr>
      <w:r>
        <w:t>E</w:t>
      </w:r>
      <w:r w:rsidR="002D5F55">
        <w:t>.</w:t>
      </w:r>
      <w:r>
        <w:t xml:space="preserve"> The federal reserved rights doctrine applies to groundwater (</w:t>
      </w:r>
      <w:r>
        <w:rPr>
          <w:i/>
        </w:rPr>
        <w:t>A</w:t>
      </w:r>
      <w:r w:rsidRPr="007F1671">
        <w:rPr>
          <w:i/>
        </w:rPr>
        <w:t xml:space="preserve">gua </w:t>
      </w:r>
      <w:r>
        <w:rPr>
          <w:i/>
        </w:rPr>
        <w:t>C</w:t>
      </w:r>
      <w:r w:rsidRPr="007F1671">
        <w:rPr>
          <w:i/>
        </w:rPr>
        <w:t xml:space="preserve">aliente Band of Cahuilla Indians v. Coachella Valley Water District </w:t>
      </w:r>
      <w:r w:rsidRPr="007F1671">
        <w:t xml:space="preserve">(9th Cir. 2017) 849 F.3d 1262, cert. den., 138 </w:t>
      </w:r>
      <w:proofErr w:type="spellStart"/>
      <w:r w:rsidRPr="007F1671">
        <w:t>S.Ct</w:t>
      </w:r>
      <w:proofErr w:type="spellEnd"/>
      <w:r w:rsidRPr="007F1671">
        <w:t>. 469</w:t>
      </w:r>
      <w:r>
        <w:t xml:space="preserve">; accord </w:t>
      </w:r>
      <w:r w:rsidRPr="007F1671">
        <w:rPr>
          <w:i/>
        </w:rPr>
        <w:t xml:space="preserve">In </w:t>
      </w:r>
      <w:r w:rsidR="00F65E98">
        <w:rPr>
          <w:i/>
        </w:rPr>
        <w:t>r</w:t>
      </w:r>
      <w:r w:rsidRPr="007F1671">
        <w:rPr>
          <w:i/>
        </w:rPr>
        <w:t xml:space="preserve">e </w:t>
      </w:r>
      <w:r w:rsidR="00F65E98">
        <w:rPr>
          <w:i/>
        </w:rPr>
        <w:t>t</w:t>
      </w:r>
      <w:r w:rsidRPr="007F1671">
        <w:rPr>
          <w:i/>
        </w:rPr>
        <w:t>he General Adjudication Of All Rights To Use Water In The Gila River System And Source</w:t>
      </w:r>
      <w:r w:rsidRPr="007F1671">
        <w:t xml:space="preserve"> (1999) 195 Ariz. 411</w:t>
      </w:r>
      <w:r w:rsidR="00F65E98">
        <w:t xml:space="preserve">, </w:t>
      </w:r>
      <w:r w:rsidRPr="007F1671">
        <w:t>cert. denied (2000) 530 U.S. 1250 Federal reserved rights extend to groundwater</w:t>
      </w:r>
      <w:r w:rsidR="00F16E88">
        <w:t>; c</w:t>
      </w:r>
      <w:r w:rsidRPr="007F1671">
        <w:t xml:space="preserve">ontra </w:t>
      </w:r>
      <w:r w:rsidRPr="00F16E88">
        <w:rPr>
          <w:i/>
        </w:rPr>
        <w:t>In re All Rights to Use Water in the Big Horn River System</w:t>
      </w:r>
      <w:r w:rsidR="00F16E88">
        <w:t xml:space="preserve"> (Wyo. 1988)</w:t>
      </w:r>
      <w:r w:rsidRPr="007F1671">
        <w:t xml:space="preserve"> 753 P.2d 76</w:t>
      </w:r>
      <w:r w:rsidR="00F16E88">
        <w:t>.</w:t>
      </w:r>
    </w:p>
    <w:p w:rsidR="007F1671" w:rsidRDefault="002D5F55" w:rsidP="00B27104">
      <w:pPr>
        <w:pStyle w:val="List3"/>
        <w:ind w:left="0" w:firstLine="0"/>
        <w:rPr>
          <w:rFonts w:ascii="Arial" w:hAnsi="Arial" w:cs="Arial"/>
        </w:rPr>
      </w:pPr>
      <w:r>
        <w:rPr>
          <w:rFonts w:ascii="Arial" w:hAnsi="Arial" w:cs="Arial"/>
        </w:rPr>
        <w:tab/>
      </w:r>
    </w:p>
    <w:p w:rsidR="002D5F55" w:rsidRDefault="007F1671" w:rsidP="007F1671">
      <w:pPr>
        <w:pStyle w:val="List3"/>
        <w:ind w:left="720"/>
        <w:rPr>
          <w:rFonts w:ascii="Arial" w:hAnsi="Arial" w:cs="Arial"/>
        </w:rPr>
      </w:pPr>
      <w:r>
        <w:rPr>
          <w:rFonts w:ascii="Arial" w:hAnsi="Arial" w:cs="Arial"/>
        </w:rPr>
        <w:t>F.</w:t>
      </w:r>
      <w:r>
        <w:rPr>
          <w:rFonts w:ascii="Arial" w:hAnsi="Arial" w:cs="Arial"/>
        </w:rPr>
        <w:tab/>
      </w:r>
      <w:r w:rsidR="002D5F55">
        <w:rPr>
          <w:rFonts w:ascii="Arial" w:hAnsi="Arial" w:cs="Arial"/>
        </w:rPr>
        <w:t xml:space="preserve">Groundwater Adjudications </w:t>
      </w:r>
    </w:p>
    <w:p w:rsidR="002D5F55" w:rsidRDefault="002D5F55">
      <w:pPr>
        <w:pStyle w:val="List3"/>
        <w:ind w:left="1440"/>
        <w:rPr>
          <w:rFonts w:ascii="Arial" w:hAnsi="Arial" w:cs="Arial"/>
        </w:rPr>
      </w:pPr>
    </w:p>
    <w:p w:rsidR="002D5F55" w:rsidRDefault="00B27104" w:rsidP="006874CD">
      <w:pPr>
        <w:ind w:left="1080" w:hanging="360"/>
      </w:pPr>
      <w:r>
        <w:t>1</w:t>
      </w:r>
      <w:r w:rsidR="002D5F55">
        <w:t>.</w:t>
      </w:r>
      <w:r>
        <w:t xml:space="preserve"> </w:t>
      </w:r>
      <w:r>
        <w:tab/>
      </w:r>
      <w:r w:rsidR="002D5F55">
        <w:t xml:space="preserve">Seek to limit pumping or provide a physical solution to prevent long term overdraft.  (See </w:t>
      </w:r>
      <w:r w:rsidR="00810464" w:rsidRPr="00810464">
        <w:rPr>
          <w:i/>
        </w:rPr>
        <w:t>City of Santa Maria v. Adam</w:t>
      </w:r>
      <w:r w:rsidR="00810464" w:rsidRPr="00810464">
        <w:t xml:space="preserve"> (2012) 211 Cal.App.4th 266, 287</w:t>
      </w:r>
      <w:r w:rsidR="006606FB">
        <w:t>–</w:t>
      </w:r>
      <w:r w:rsidR="00810464" w:rsidRPr="00810464">
        <w:t>89</w:t>
      </w:r>
      <w:r w:rsidR="0061332C">
        <w:t xml:space="preserve">, cert. denied (2013) </w:t>
      </w:r>
      <w:r w:rsidR="003474F0" w:rsidRPr="003474F0">
        <w:t xml:space="preserve">571 U.S. 940 </w:t>
      </w:r>
      <w:r w:rsidR="00810464">
        <w:t xml:space="preserve">[discussing authority to impose a physical solution]; </w:t>
      </w:r>
      <w:r w:rsidR="002D5F55">
        <w:rPr>
          <w:i/>
        </w:rPr>
        <w:t>Wright v. Goleta Water Dist.</w:t>
      </w:r>
      <w:r w:rsidR="002D5F55">
        <w:t> (1985) 174 Cal.App.3d 74, 89</w:t>
      </w:r>
      <w:r w:rsidR="006606FB">
        <w:t>–</w:t>
      </w:r>
      <w:r w:rsidR="002D5F55">
        <w:t>90 [reviewing determination of “safe yield”].)</w:t>
      </w:r>
    </w:p>
    <w:p w:rsidR="002D5F55" w:rsidRDefault="002D5F55" w:rsidP="006874CD">
      <w:pPr>
        <w:ind w:left="2808" w:hanging="360"/>
      </w:pPr>
    </w:p>
    <w:p w:rsidR="002D5F55" w:rsidRDefault="00B27104" w:rsidP="006874CD">
      <w:pPr>
        <w:ind w:left="1080" w:hanging="360"/>
        <w:rPr>
          <w:iCs/>
        </w:rPr>
      </w:pPr>
      <w:r>
        <w:t xml:space="preserve">2.  </w:t>
      </w:r>
      <w:r w:rsidR="002D5F55">
        <w:t>A number of groundwater basins have been adjudicated, with decrees entered pursuant to settlement.  (E.g.</w:t>
      </w:r>
      <w:r w:rsidR="00D13BB2">
        <w:t>,</w:t>
      </w:r>
      <w:r w:rsidR="002D5F55">
        <w:t xml:space="preserve"> </w:t>
      </w:r>
      <w:r w:rsidR="002D5F55">
        <w:rPr>
          <w:i/>
          <w:iCs/>
        </w:rPr>
        <w:t xml:space="preserve">California American Water Company v. City of Seaside </w:t>
      </w:r>
      <w:r w:rsidR="002D5F55">
        <w:rPr>
          <w:iCs/>
        </w:rPr>
        <w:t>(Super. Ct.</w:t>
      </w:r>
      <w:r w:rsidR="002D5F55">
        <w:t xml:space="preserve"> Monterey County, 2006, No. M66343 [seaside aquifer]); see </w:t>
      </w:r>
      <w:r w:rsidR="002D5F55">
        <w:rPr>
          <w:iCs/>
        </w:rPr>
        <w:t>Governor’s Commission to Review California Water Rights Law, Final Report (1978)</w:t>
      </w:r>
      <w:r w:rsidR="00A3769D">
        <w:rPr>
          <w:iCs/>
        </w:rPr>
        <w:t xml:space="preserve">. </w:t>
      </w:r>
      <w:r w:rsidR="002D5F55">
        <w:rPr>
          <w:iCs/>
        </w:rPr>
        <w:t>p. 148 [Where groundwater management has been achieved though adjudication, the result was achieved through settlement, and “strict water law doctrine has usually not been followed in determining water rights to extract groundwater.  Parties have reached agreements on allocations they believe to be fair and reasonable . . . .”])</w:t>
      </w:r>
    </w:p>
    <w:p w:rsidR="002D5F55" w:rsidRDefault="002D5F55" w:rsidP="006874CD">
      <w:pPr>
        <w:pStyle w:val="List3"/>
        <w:ind w:left="2808"/>
        <w:rPr>
          <w:rFonts w:ascii="Arial" w:hAnsi="Arial" w:cs="Arial"/>
        </w:rPr>
      </w:pPr>
    </w:p>
    <w:p w:rsidR="002D5F55" w:rsidRDefault="00B27104" w:rsidP="006874CD">
      <w:pPr>
        <w:ind w:left="1080" w:hanging="360"/>
      </w:pPr>
      <w:r>
        <w:t xml:space="preserve">3.   </w:t>
      </w:r>
      <w:r w:rsidR="002D5F55">
        <w:rPr>
          <w:iCs/>
        </w:rPr>
        <w:t xml:space="preserve">Adjudication of a large groundwater basin will prove very difficult, if not impossible, absent legislation such as that providing for stream system adjudications.  (See </w:t>
      </w:r>
      <w:r w:rsidR="00D13BB2">
        <w:rPr>
          <w:iCs/>
        </w:rPr>
        <w:t>Governor’s Commission to Review California Water Rights Law, Final Report (1978)</w:t>
      </w:r>
      <w:r w:rsidR="00A3769D">
        <w:rPr>
          <w:iCs/>
        </w:rPr>
        <w:t xml:space="preserve">, </w:t>
      </w:r>
      <w:r w:rsidR="002D5F55">
        <w:rPr>
          <w:iCs/>
        </w:rPr>
        <w:t>pp. 158</w:t>
      </w:r>
      <w:r w:rsidR="006606FB">
        <w:rPr>
          <w:iCs/>
        </w:rPr>
        <w:t>–</w:t>
      </w:r>
      <w:r w:rsidR="002D5F55">
        <w:rPr>
          <w:iCs/>
        </w:rPr>
        <w:t xml:space="preserve">161; </w:t>
      </w:r>
      <w:r w:rsidR="002D5F55">
        <w:rPr>
          <w:i/>
          <w:iCs/>
        </w:rPr>
        <w:t>City of Barstow v. Mojave Water Agency</w:t>
      </w:r>
      <w:r w:rsidR="00E121EE">
        <w:rPr>
          <w:iCs/>
        </w:rPr>
        <w:t xml:space="preserve"> (2000) 23 Cal.4th 1224 </w:t>
      </w:r>
      <w:r w:rsidR="002D5F55">
        <w:rPr>
          <w:iCs/>
        </w:rPr>
        <w:t xml:space="preserve">[rejecting use of equitable apportionment or other theories to simplify determination of water right holders’ allocations </w:t>
      </w:r>
      <w:r w:rsidR="00D13BB2">
        <w:rPr>
          <w:iCs/>
        </w:rPr>
        <w:t xml:space="preserve">of </w:t>
      </w:r>
      <w:r w:rsidR="002D5F55">
        <w:rPr>
          <w:iCs/>
        </w:rPr>
        <w:t>water</w:t>
      </w:r>
      <w:r w:rsidR="00D13BB2">
        <w:rPr>
          <w:iCs/>
        </w:rPr>
        <w:t xml:space="preserve"> in </w:t>
      </w:r>
      <w:r w:rsidR="002D5F55">
        <w:rPr>
          <w:iCs/>
        </w:rPr>
        <w:t>a groundwater adjudication]</w:t>
      </w:r>
      <w:r w:rsidR="00841B2C">
        <w:rPr>
          <w:iCs/>
        </w:rPr>
        <w:t>.)</w:t>
      </w:r>
    </w:p>
    <w:p w:rsidR="002964B1" w:rsidRDefault="002964B1" w:rsidP="006874CD">
      <w:pPr>
        <w:ind w:left="1080" w:hanging="360"/>
      </w:pPr>
    </w:p>
    <w:p w:rsidR="002964B1" w:rsidRDefault="002964B1" w:rsidP="002964B1">
      <w:pPr>
        <w:pStyle w:val="List3"/>
        <w:rPr>
          <w:rFonts w:ascii="Arial" w:hAnsi="Arial" w:cs="Arial"/>
        </w:rPr>
      </w:pPr>
      <w:r>
        <w:rPr>
          <w:rFonts w:ascii="Arial" w:hAnsi="Arial" w:cs="Arial"/>
        </w:rPr>
        <w:t>4.  In 1969, the Legislature authorized the State Water Resources Control Board (State Water Board) to initiate an adjudication where pumping restrictions or a physical solution is necessary to protect groundwater quality.</w:t>
      </w:r>
      <w:r w:rsidR="007928B2">
        <w:rPr>
          <w:rFonts w:ascii="Arial" w:hAnsi="Arial" w:cs="Arial"/>
        </w:rPr>
        <w:t xml:space="preserve"> (Wat. Code, § 2100 et seq.)</w:t>
      </w:r>
    </w:p>
    <w:p w:rsidR="00E44496" w:rsidRDefault="00E44496" w:rsidP="002964B1">
      <w:pPr>
        <w:pStyle w:val="List3"/>
        <w:rPr>
          <w:rFonts w:ascii="Arial" w:hAnsi="Arial" w:cs="Arial"/>
        </w:rPr>
      </w:pPr>
    </w:p>
    <w:p w:rsidR="00841B2C" w:rsidRDefault="00E44496" w:rsidP="002964B1">
      <w:pPr>
        <w:pStyle w:val="List3"/>
        <w:rPr>
          <w:rFonts w:ascii="Arial" w:hAnsi="Arial" w:cs="Arial"/>
        </w:rPr>
      </w:pPr>
      <w:r>
        <w:rPr>
          <w:rFonts w:ascii="Arial" w:hAnsi="Arial" w:cs="Arial"/>
        </w:rPr>
        <w:t xml:space="preserve">5.  In 2015, the Legislature </w:t>
      </w:r>
      <w:r w:rsidR="00744ADA">
        <w:rPr>
          <w:rFonts w:ascii="Arial" w:hAnsi="Arial" w:cs="Arial"/>
        </w:rPr>
        <w:t>enacted</w:t>
      </w:r>
      <w:r>
        <w:rPr>
          <w:rFonts w:ascii="Arial" w:hAnsi="Arial" w:cs="Arial"/>
        </w:rPr>
        <w:t xml:space="preserve"> </w:t>
      </w:r>
      <w:r w:rsidR="00B65882">
        <w:rPr>
          <w:rFonts w:ascii="Arial" w:hAnsi="Arial" w:cs="Arial"/>
        </w:rPr>
        <w:t>reform legislation for comprehensive groundwater adjudications</w:t>
      </w:r>
      <w:r>
        <w:rPr>
          <w:rFonts w:ascii="Arial" w:hAnsi="Arial" w:cs="Arial"/>
        </w:rPr>
        <w:t>. (Code Civ. Proc., § 830 et seq.; Wat. Code, § 10737 et seq.)</w:t>
      </w:r>
      <w:r w:rsidR="004E1831">
        <w:rPr>
          <w:rFonts w:ascii="Arial" w:hAnsi="Arial" w:cs="Arial"/>
        </w:rPr>
        <w:t xml:space="preserve"> </w:t>
      </w:r>
    </w:p>
    <w:p w:rsidR="00841B2C" w:rsidRDefault="00841B2C" w:rsidP="002964B1">
      <w:pPr>
        <w:pStyle w:val="List3"/>
        <w:rPr>
          <w:rFonts w:ascii="Arial" w:hAnsi="Arial" w:cs="Arial"/>
        </w:rPr>
      </w:pPr>
    </w:p>
    <w:p w:rsidR="00841B2C" w:rsidRDefault="00841B2C" w:rsidP="00841B2C">
      <w:pPr>
        <w:pStyle w:val="List3"/>
        <w:numPr>
          <w:ilvl w:val="0"/>
          <w:numId w:val="34"/>
        </w:numPr>
        <w:rPr>
          <w:rFonts w:ascii="Arial" w:hAnsi="Arial" w:cs="Arial"/>
        </w:rPr>
      </w:pPr>
      <w:r>
        <w:rPr>
          <w:rFonts w:ascii="Arial" w:hAnsi="Arial" w:cs="Arial"/>
        </w:rPr>
        <w:t>The legislation may remove some of the barriers to management through adjudication. (See, e.g., Code Civ. Proc., § 830, subd. (b)(7) [authorizing court to c</w:t>
      </w:r>
      <w:r w:rsidRPr="00841B2C">
        <w:rPr>
          <w:rFonts w:ascii="Arial" w:hAnsi="Arial" w:cs="Arial"/>
        </w:rPr>
        <w:t xml:space="preserve">onsider applying the principles established in </w:t>
      </w:r>
      <w:r w:rsidRPr="00841B2C">
        <w:rPr>
          <w:rFonts w:ascii="Arial" w:hAnsi="Arial" w:cs="Arial"/>
          <w:i/>
        </w:rPr>
        <w:t>In re Waters of Long Valley Creek Stream System</w:t>
      </w:r>
      <w:r w:rsidRPr="00841B2C">
        <w:rPr>
          <w:rFonts w:ascii="Arial" w:hAnsi="Arial" w:cs="Arial"/>
        </w:rPr>
        <w:t xml:space="preserve"> (1979) 25 Cal.3d 339</w:t>
      </w:r>
      <w:r w:rsidR="00B65882">
        <w:rPr>
          <w:rFonts w:ascii="Arial" w:hAnsi="Arial" w:cs="Arial"/>
        </w:rPr>
        <w:t xml:space="preserve"> (</w:t>
      </w:r>
      <w:r w:rsidR="00B65882">
        <w:rPr>
          <w:rFonts w:ascii="Arial" w:hAnsi="Arial" w:cs="Arial"/>
          <w:i/>
        </w:rPr>
        <w:t>Long Valley</w:t>
      </w:r>
      <w:r w:rsidR="00B65882">
        <w:rPr>
          <w:rFonts w:ascii="Arial" w:hAnsi="Arial" w:cs="Arial"/>
        </w:rPr>
        <w:t>),</w:t>
      </w:r>
      <w:r>
        <w:rPr>
          <w:rFonts w:ascii="Arial" w:hAnsi="Arial" w:cs="Arial"/>
        </w:rPr>
        <w:t xml:space="preserve"> </w:t>
      </w:r>
      <w:r w:rsidR="00B65882">
        <w:rPr>
          <w:rFonts w:ascii="Arial" w:hAnsi="Arial" w:cs="Arial"/>
        </w:rPr>
        <w:t>[</w:t>
      </w:r>
      <w:r>
        <w:rPr>
          <w:rFonts w:ascii="Arial" w:hAnsi="Arial" w:cs="Arial"/>
        </w:rPr>
        <w:t>under which unexercised riparian rights may be subordinated in priority to rights that have been exercised]</w:t>
      </w:r>
      <w:r w:rsidR="00B65882">
        <w:rPr>
          <w:rFonts w:ascii="Arial" w:hAnsi="Arial" w:cs="Arial"/>
        </w:rPr>
        <w:t xml:space="preserve">, effectively removing the barrier to management by adjudication that would otherwise arise under </w:t>
      </w:r>
      <w:r w:rsidRPr="00841B2C">
        <w:rPr>
          <w:rFonts w:ascii="Arial" w:hAnsi="Arial" w:cs="Arial"/>
          <w:i/>
        </w:rPr>
        <w:t>Wright v. Goleta Water Dist.</w:t>
      </w:r>
      <w:r w:rsidRPr="00841B2C">
        <w:rPr>
          <w:rFonts w:ascii="Arial" w:hAnsi="Arial" w:cs="Arial"/>
        </w:rPr>
        <w:t xml:space="preserve"> (1985) 174 Cal.App.3d 74, 87–89. [</w:t>
      </w:r>
      <w:r w:rsidR="00B65882">
        <w:rPr>
          <w:rFonts w:ascii="Arial" w:hAnsi="Arial" w:cs="Arial"/>
        </w:rPr>
        <w:t xml:space="preserve">absent a statutory scheme for comprehensive </w:t>
      </w:r>
      <w:r w:rsidRPr="00841B2C">
        <w:rPr>
          <w:rFonts w:ascii="Arial" w:hAnsi="Arial" w:cs="Arial"/>
        </w:rPr>
        <w:t>groundwater adjudication</w:t>
      </w:r>
      <w:r w:rsidR="00B65882">
        <w:rPr>
          <w:rFonts w:ascii="Arial" w:hAnsi="Arial" w:cs="Arial"/>
        </w:rPr>
        <w:t xml:space="preserve">, </w:t>
      </w:r>
      <w:r w:rsidR="00B65882">
        <w:rPr>
          <w:rFonts w:ascii="Arial" w:hAnsi="Arial" w:cs="Arial"/>
          <w:i/>
        </w:rPr>
        <w:t xml:space="preserve">Long Valley </w:t>
      </w:r>
      <w:r w:rsidR="00B65882">
        <w:rPr>
          <w:rFonts w:ascii="Arial" w:hAnsi="Arial" w:cs="Arial"/>
        </w:rPr>
        <w:t>principles cannot be applied in a groundwater adjudication</w:t>
      </w:r>
      <w:r w:rsidRPr="00841B2C">
        <w:rPr>
          <w:rFonts w:ascii="Arial" w:hAnsi="Arial" w:cs="Arial"/>
        </w:rPr>
        <w:t>].)</w:t>
      </w:r>
    </w:p>
    <w:p w:rsidR="00B65882" w:rsidRDefault="00B65882" w:rsidP="00B65882">
      <w:pPr>
        <w:pStyle w:val="List3"/>
        <w:ind w:left="1440" w:firstLine="0"/>
        <w:rPr>
          <w:rFonts w:ascii="Arial" w:hAnsi="Arial" w:cs="Arial"/>
        </w:rPr>
      </w:pPr>
    </w:p>
    <w:p w:rsidR="00B65882" w:rsidRPr="003301A6" w:rsidRDefault="00B65882" w:rsidP="008A2523">
      <w:pPr>
        <w:pStyle w:val="List3"/>
        <w:numPr>
          <w:ilvl w:val="0"/>
          <w:numId w:val="34"/>
        </w:numPr>
        <w:rPr>
          <w:rFonts w:ascii="Arial" w:hAnsi="Arial" w:cs="Arial"/>
        </w:rPr>
      </w:pPr>
      <w:r w:rsidRPr="003301A6">
        <w:rPr>
          <w:rFonts w:ascii="Arial" w:hAnsi="Arial" w:cs="Arial"/>
        </w:rPr>
        <w:t>The legislation includes provisions to prevent adjudications from undermining management under the SGMA. (</w:t>
      </w:r>
      <w:r w:rsidR="003301A6" w:rsidRPr="003301A6">
        <w:rPr>
          <w:rFonts w:ascii="Arial" w:hAnsi="Arial" w:cs="Arial"/>
        </w:rPr>
        <w:t xml:space="preserve">Wat. Code, § 10737 et seq.); see also </w:t>
      </w:r>
      <w:r w:rsidRPr="003301A6">
        <w:rPr>
          <w:rFonts w:ascii="Arial" w:hAnsi="Arial" w:cs="Arial"/>
        </w:rPr>
        <w:t>Code Civ. Proc., §</w:t>
      </w:r>
      <w:r w:rsidR="00FE7C1F" w:rsidRPr="003301A6">
        <w:rPr>
          <w:rFonts w:ascii="Arial" w:hAnsi="Arial" w:cs="Arial"/>
        </w:rPr>
        <w:t>§ 830, subd. (b)(4), 835, subd. (a)(1), 836, subd. (m), 836.5, 837, subd. (a), 847, subd. (e),</w:t>
      </w:r>
      <w:r w:rsidRPr="003301A6">
        <w:rPr>
          <w:rFonts w:ascii="Arial" w:hAnsi="Arial" w:cs="Arial"/>
        </w:rPr>
        <w:t xml:space="preserve"> </w:t>
      </w:r>
      <w:r w:rsidR="00FE7C1F" w:rsidRPr="003301A6">
        <w:rPr>
          <w:rFonts w:ascii="Arial" w:hAnsi="Arial" w:cs="Arial"/>
        </w:rPr>
        <w:t>848, subd. (a)(1), 849, subd. (b), Wat. Code, § 10737</w:t>
      </w:r>
      <w:r w:rsidR="003301A6" w:rsidRPr="003301A6">
        <w:rPr>
          <w:rFonts w:ascii="Arial" w:hAnsi="Arial" w:cs="Arial"/>
        </w:rPr>
        <w:t xml:space="preserve"> et seq.)</w:t>
      </w:r>
    </w:p>
    <w:p w:rsidR="00841B2C" w:rsidRDefault="00841B2C" w:rsidP="00841B2C">
      <w:pPr>
        <w:pStyle w:val="List3"/>
        <w:rPr>
          <w:rFonts w:ascii="Arial" w:hAnsi="Arial" w:cs="Arial"/>
        </w:rPr>
      </w:pPr>
    </w:p>
    <w:p w:rsidR="00E44496" w:rsidRPr="004E1831" w:rsidRDefault="004E1831" w:rsidP="00841B2C">
      <w:pPr>
        <w:pStyle w:val="List3"/>
        <w:numPr>
          <w:ilvl w:val="0"/>
          <w:numId w:val="34"/>
        </w:numPr>
        <w:rPr>
          <w:rFonts w:ascii="Arial" w:hAnsi="Arial" w:cs="Arial"/>
        </w:rPr>
      </w:pPr>
      <w:r>
        <w:rPr>
          <w:rFonts w:ascii="Arial" w:hAnsi="Arial" w:cs="Arial"/>
        </w:rPr>
        <w:t xml:space="preserve">An adjudication under the legislation may include rights to surface waters if </w:t>
      </w:r>
      <w:r w:rsidRPr="004E1831">
        <w:rPr>
          <w:rFonts w:ascii="Arial" w:hAnsi="Arial" w:cs="Arial"/>
        </w:rPr>
        <w:t>the court finds that including an interconnected surface water body is necessary for the fair and effective determination of the groundwater rights</w:t>
      </w:r>
      <w:r>
        <w:rPr>
          <w:rFonts w:ascii="Arial" w:hAnsi="Arial" w:cs="Arial"/>
        </w:rPr>
        <w:t>. (</w:t>
      </w:r>
      <w:r w:rsidR="00841B2C">
        <w:rPr>
          <w:rFonts w:ascii="Arial" w:hAnsi="Arial" w:cs="Arial"/>
        </w:rPr>
        <w:t>Code Civ. Proc</w:t>
      </w:r>
      <w:r>
        <w:rPr>
          <w:rFonts w:ascii="Arial" w:hAnsi="Arial" w:cs="Arial"/>
          <w:i/>
        </w:rPr>
        <w:t>.</w:t>
      </w:r>
      <w:r>
        <w:rPr>
          <w:rFonts w:ascii="Arial" w:hAnsi="Arial" w:cs="Arial"/>
        </w:rPr>
        <w:t>, § 833, subd. (c).)</w:t>
      </w:r>
    </w:p>
    <w:p w:rsidR="001E6BDB" w:rsidRDefault="001E6BDB" w:rsidP="006874CD">
      <w:pPr>
        <w:ind w:left="1008" w:hanging="360"/>
      </w:pPr>
    </w:p>
    <w:p w:rsidR="001E6BDB" w:rsidRDefault="001E6BDB" w:rsidP="001E6BDB">
      <w:pPr>
        <w:pStyle w:val="List3"/>
        <w:ind w:left="360"/>
        <w:rPr>
          <w:rFonts w:ascii="Arial" w:hAnsi="Arial" w:cs="Arial"/>
        </w:rPr>
      </w:pPr>
      <w:r>
        <w:rPr>
          <w:rFonts w:ascii="Arial" w:hAnsi="Arial" w:cs="Arial"/>
        </w:rPr>
        <w:t>I</w:t>
      </w:r>
      <w:r w:rsidR="002B0C61">
        <w:rPr>
          <w:rFonts w:ascii="Arial" w:hAnsi="Arial" w:cs="Arial"/>
        </w:rPr>
        <w:t>I</w:t>
      </w:r>
      <w:r>
        <w:rPr>
          <w:rFonts w:ascii="Arial" w:hAnsi="Arial" w:cs="Arial"/>
        </w:rPr>
        <w:t>.</w:t>
      </w:r>
      <w:r>
        <w:rPr>
          <w:rFonts w:ascii="Arial" w:hAnsi="Arial" w:cs="Arial"/>
        </w:rPr>
        <w:tab/>
        <w:t>State</w:t>
      </w:r>
      <w:r w:rsidR="006874CD">
        <w:rPr>
          <w:rFonts w:ascii="Arial" w:hAnsi="Arial" w:cs="Arial"/>
        </w:rPr>
        <w:t xml:space="preserve"> </w:t>
      </w:r>
      <w:r>
        <w:rPr>
          <w:rFonts w:ascii="Arial" w:hAnsi="Arial" w:cs="Arial"/>
        </w:rPr>
        <w:t>Management</w:t>
      </w:r>
    </w:p>
    <w:p w:rsidR="001E6BDB" w:rsidRDefault="001E6BDB" w:rsidP="001E6BDB">
      <w:pPr>
        <w:pStyle w:val="List3"/>
        <w:ind w:left="360"/>
        <w:rPr>
          <w:rFonts w:ascii="Arial" w:hAnsi="Arial" w:cs="Arial"/>
        </w:rPr>
      </w:pPr>
    </w:p>
    <w:p w:rsidR="006874CD" w:rsidRDefault="001E6BDB" w:rsidP="00490A92">
      <w:pPr>
        <w:pStyle w:val="List3"/>
        <w:ind w:left="720"/>
        <w:rPr>
          <w:rFonts w:ascii="Arial" w:hAnsi="Arial" w:cs="Arial"/>
        </w:rPr>
      </w:pPr>
      <w:r>
        <w:rPr>
          <w:rFonts w:ascii="Arial" w:hAnsi="Arial" w:cs="Arial"/>
        </w:rPr>
        <w:t xml:space="preserve">A.  Most Western states have applied the doctrine of prior appropriation to groundwater, and </w:t>
      </w:r>
      <w:r w:rsidR="00300458">
        <w:rPr>
          <w:rFonts w:ascii="Arial" w:hAnsi="Arial" w:cs="Arial"/>
        </w:rPr>
        <w:t>the same state agency administers water rights for both surface and groundwater.  (</w:t>
      </w:r>
      <w:proofErr w:type="spellStart"/>
      <w:r w:rsidR="00300458">
        <w:rPr>
          <w:rFonts w:ascii="Arial" w:hAnsi="Arial" w:cs="Arial"/>
        </w:rPr>
        <w:t>Tarlock</w:t>
      </w:r>
      <w:proofErr w:type="spellEnd"/>
      <w:r w:rsidR="00300458">
        <w:rPr>
          <w:rFonts w:ascii="Arial" w:hAnsi="Arial" w:cs="Arial"/>
        </w:rPr>
        <w:t>, Law of Water Rights and Resources (2011 ed.), § 6:4, pp. 389-90</w:t>
      </w:r>
      <w:r w:rsidR="00ED05C6">
        <w:rPr>
          <w:rFonts w:ascii="Arial" w:hAnsi="Arial" w:cs="Arial"/>
        </w:rPr>
        <w:t xml:space="preserve">; </w:t>
      </w:r>
      <w:r w:rsidR="00B4498F">
        <w:rPr>
          <w:rFonts w:ascii="Arial" w:hAnsi="Arial" w:cs="Arial"/>
        </w:rPr>
        <w:t>cf.</w:t>
      </w:r>
      <w:r w:rsidR="00ED05C6">
        <w:rPr>
          <w:rFonts w:ascii="Arial" w:hAnsi="Arial" w:cs="Arial"/>
        </w:rPr>
        <w:t xml:space="preserve"> </w:t>
      </w:r>
      <w:r w:rsidR="00EC1CC3" w:rsidRPr="00EC1CC3">
        <w:rPr>
          <w:rFonts w:ascii="Arial" w:hAnsi="Arial" w:cs="Arial"/>
          <w:i/>
        </w:rPr>
        <w:t>Bamford v. Upper Republican Natural Resources Dist.</w:t>
      </w:r>
      <w:r w:rsidR="00EC1CC3" w:rsidRPr="00EC1CC3">
        <w:rPr>
          <w:rFonts w:ascii="Arial" w:hAnsi="Arial" w:cs="Arial"/>
        </w:rPr>
        <w:t xml:space="preserve"> (1994) 245 Neb. 299, 305</w:t>
      </w:r>
      <w:r w:rsidR="00EC1CC3">
        <w:rPr>
          <w:rFonts w:ascii="Arial" w:hAnsi="Arial" w:cs="Arial"/>
        </w:rPr>
        <w:t xml:space="preserve">, 312-314 [upholding groundwater management statute, in a state that recognizes common law correlative rights to groundwater]; </w:t>
      </w:r>
      <w:r w:rsidR="00EC1CC3" w:rsidRPr="00EC1CC3">
        <w:rPr>
          <w:rFonts w:ascii="Arial" w:hAnsi="Arial" w:cs="Arial"/>
          <w:i/>
        </w:rPr>
        <w:t>Kline v. State, ex rel. Oklahoma Water Resources Bd.</w:t>
      </w:r>
      <w:r w:rsidR="00EC1CC3" w:rsidRPr="00EC1CC3">
        <w:rPr>
          <w:rFonts w:ascii="Arial" w:hAnsi="Arial" w:cs="Arial"/>
        </w:rPr>
        <w:t xml:space="preserve"> (Okla. 1988) 759 P.2d 210, 212-13</w:t>
      </w:r>
      <w:r w:rsidR="00EC1CC3">
        <w:rPr>
          <w:rFonts w:ascii="Arial" w:hAnsi="Arial" w:cs="Arial"/>
        </w:rPr>
        <w:t xml:space="preserve"> [same]</w:t>
      </w:r>
      <w:r w:rsidR="00490A92">
        <w:rPr>
          <w:rFonts w:ascii="Arial" w:hAnsi="Arial" w:cs="Arial"/>
        </w:rPr>
        <w:t>; see also</w:t>
      </w:r>
      <w:r w:rsidR="00490A92" w:rsidRPr="00490A92">
        <w:t xml:space="preserve"> </w:t>
      </w:r>
      <w:r w:rsidR="00490A92" w:rsidRPr="00490A92">
        <w:rPr>
          <w:rFonts w:ascii="Arial" w:hAnsi="Arial" w:cs="Arial"/>
          <w:i/>
        </w:rPr>
        <w:t>North Gualala Water Co. v. State Water Resources Control Bd.</w:t>
      </w:r>
      <w:r w:rsidR="00490A92" w:rsidRPr="00490A92">
        <w:rPr>
          <w:rFonts w:ascii="Arial" w:hAnsi="Arial" w:cs="Arial"/>
        </w:rPr>
        <w:t xml:space="preserve"> (2006) 139 Cal.App.4th 1577, 1590</w:t>
      </w:r>
      <w:r w:rsidR="00490A92">
        <w:rPr>
          <w:rFonts w:ascii="Arial" w:hAnsi="Arial" w:cs="Arial"/>
        </w:rPr>
        <w:t xml:space="preserve">  [“</w:t>
      </w:r>
      <w:r w:rsidR="00490A92" w:rsidRPr="00490A92">
        <w:rPr>
          <w:rFonts w:ascii="Arial" w:hAnsi="Arial" w:cs="Arial"/>
        </w:rPr>
        <w:t>California is the only western state that still treats surface water and groundwater under separate and distinct legal regimes.</w:t>
      </w:r>
      <w:r w:rsidR="00490A92">
        <w:rPr>
          <w:rFonts w:ascii="Arial" w:hAnsi="Arial" w:cs="Arial"/>
        </w:rPr>
        <w:t>”]</w:t>
      </w:r>
      <w:r w:rsidR="00676F67">
        <w:rPr>
          <w:rFonts w:ascii="Arial" w:hAnsi="Arial" w:cs="Arial"/>
        </w:rPr>
        <w:t>.</w:t>
      </w:r>
      <w:r w:rsidR="00300458">
        <w:rPr>
          <w:rFonts w:ascii="Arial" w:hAnsi="Arial" w:cs="Arial"/>
        </w:rPr>
        <w:t>)</w:t>
      </w:r>
    </w:p>
    <w:p w:rsidR="006874CD" w:rsidRDefault="006874CD" w:rsidP="001E6BDB">
      <w:pPr>
        <w:pStyle w:val="List3"/>
        <w:ind w:left="360" w:firstLine="0"/>
        <w:rPr>
          <w:rFonts w:ascii="Arial" w:hAnsi="Arial" w:cs="Arial"/>
        </w:rPr>
      </w:pPr>
    </w:p>
    <w:p w:rsidR="006874CD" w:rsidRDefault="006874CD" w:rsidP="00DE3E1B">
      <w:pPr>
        <w:pStyle w:val="List3"/>
        <w:ind w:left="720"/>
        <w:rPr>
          <w:rFonts w:ascii="Arial" w:hAnsi="Arial" w:cs="Arial"/>
        </w:rPr>
      </w:pPr>
      <w:r>
        <w:rPr>
          <w:rFonts w:ascii="Arial" w:hAnsi="Arial" w:cs="Arial"/>
        </w:rPr>
        <w:t xml:space="preserve">B.  </w:t>
      </w:r>
      <w:r w:rsidR="00A343BA">
        <w:rPr>
          <w:rFonts w:ascii="Arial" w:hAnsi="Arial" w:cs="Arial"/>
        </w:rPr>
        <w:t>In California, the</w:t>
      </w:r>
      <w:r w:rsidR="00FD6CAB">
        <w:rPr>
          <w:rFonts w:ascii="Arial" w:hAnsi="Arial" w:cs="Arial"/>
        </w:rPr>
        <w:t xml:space="preserve"> statutes establishing the water right permit and license system and stream system adjudications </w:t>
      </w:r>
      <w:r w:rsidR="00DE3E1B">
        <w:rPr>
          <w:rFonts w:ascii="Arial" w:hAnsi="Arial" w:cs="Arial"/>
        </w:rPr>
        <w:t xml:space="preserve">are limited to appropriations from surface waters and subterranean stream in known in definite channels. (Wat. Code, §§ 1200, 2500.) </w:t>
      </w:r>
    </w:p>
    <w:p w:rsidR="006874CD" w:rsidRDefault="006874CD" w:rsidP="001E6BDB">
      <w:pPr>
        <w:pStyle w:val="List3"/>
        <w:ind w:left="360" w:firstLine="0"/>
        <w:rPr>
          <w:rFonts w:ascii="Arial" w:hAnsi="Arial" w:cs="Arial"/>
        </w:rPr>
      </w:pPr>
    </w:p>
    <w:p w:rsidR="001E6BDB" w:rsidRDefault="006874CD" w:rsidP="006874CD">
      <w:pPr>
        <w:pStyle w:val="List3"/>
        <w:rPr>
          <w:rFonts w:ascii="Arial" w:hAnsi="Arial" w:cs="Arial"/>
        </w:rPr>
      </w:pPr>
      <w:r>
        <w:rPr>
          <w:rFonts w:ascii="Arial" w:hAnsi="Arial" w:cs="Arial"/>
        </w:rPr>
        <w:t>1</w:t>
      </w:r>
      <w:r w:rsidR="002D0CDB">
        <w:rPr>
          <w:rFonts w:ascii="Arial" w:hAnsi="Arial" w:cs="Arial"/>
        </w:rPr>
        <w:t>.</w:t>
      </w:r>
      <w:r>
        <w:rPr>
          <w:rFonts w:ascii="Arial" w:hAnsi="Arial" w:cs="Arial"/>
        </w:rPr>
        <w:t xml:space="preserve"> </w:t>
      </w:r>
      <w:r w:rsidR="002D0CDB">
        <w:rPr>
          <w:rFonts w:ascii="Arial" w:hAnsi="Arial" w:cs="Arial"/>
        </w:rPr>
        <w:t xml:space="preserve"> The bill to enact the Water Commission Act of 1913, which established California statutory water rights system, included both groundwater and surface water, as introduced, but was amended to make it inapplicable to groundwater</w:t>
      </w:r>
      <w:r w:rsidR="00490A92">
        <w:rPr>
          <w:rFonts w:ascii="Arial" w:hAnsi="Arial" w:cs="Arial"/>
        </w:rPr>
        <w:t>, except for subterranean streams in known and definite channels</w:t>
      </w:r>
      <w:r w:rsidR="002D0CDB">
        <w:rPr>
          <w:rFonts w:ascii="Arial" w:hAnsi="Arial" w:cs="Arial"/>
        </w:rPr>
        <w:t xml:space="preserve">.  (Sax, </w:t>
      </w:r>
      <w:r w:rsidR="002D0CDB">
        <w:rPr>
          <w:rFonts w:ascii="Arial" w:hAnsi="Arial" w:cs="Arial"/>
          <w:i/>
        </w:rPr>
        <w:t xml:space="preserve">We Don’t Do Groundwater: </w:t>
      </w:r>
      <w:proofErr w:type="gramStart"/>
      <w:r w:rsidR="002D0CDB">
        <w:rPr>
          <w:rFonts w:ascii="Arial" w:hAnsi="Arial" w:cs="Arial"/>
          <w:i/>
        </w:rPr>
        <w:t>a</w:t>
      </w:r>
      <w:proofErr w:type="gramEnd"/>
      <w:r w:rsidR="002D0CDB">
        <w:rPr>
          <w:rFonts w:ascii="Arial" w:hAnsi="Arial" w:cs="Arial"/>
          <w:i/>
        </w:rPr>
        <w:t xml:space="preserve"> Morsel of California Legal History</w:t>
      </w:r>
      <w:r w:rsidR="002D0CDB">
        <w:rPr>
          <w:rFonts w:ascii="Arial" w:hAnsi="Arial" w:cs="Arial"/>
        </w:rPr>
        <w:t xml:space="preserve"> (2003) </w:t>
      </w:r>
      <w:r w:rsidR="002D0CDB" w:rsidRPr="003D5E30">
        <w:rPr>
          <w:rFonts w:ascii="Arial" w:hAnsi="Arial" w:cs="Arial"/>
        </w:rPr>
        <w:t xml:space="preserve">6 U. </w:t>
      </w:r>
      <w:proofErr w:type="spellStart"/>
      <w:r w:rsidR="002D0CDB" w:rsidRPr="003D5E30">
        <w:rPr>
          <w:rFonts w:ascii="Arial" w:hAnsi="Arial" w:cs="Arial"/>
        </w:rPr>
        <w:t>Denv</w:t>
      </w:r>
      <w:proofErr w:type="spellEnd"/>
      <w:r w:rsidR="002D0CDB" w:rsidRPr="003D5E30">
        <w:rPr>
          <w:rFonts w:ascii="Arial" w:hAnsi="Arial" w:cs="Arial"/>
        </w:rPr>
        <w:t xml:space="preserve">. Water L. Rev. 269, </w:t>
      </w:r>
      <w:r w:rsidR="002D0CDB">
        <w:rPr>
          <w:rFonts w:ascii="Arial" w:hAnsi="Arial" w:cs="Arial"/>
        </w:rPr>
        <w:t>292-93.)</w:t>
      </w:r>
    </w:p>
    <w:p w:rsidR="006874CD" w:rsidRDefault="006874CD" w:rsidP="006874CD">
      <w:pPr>
        <w:pStyle w:val="List3"/>
        <w:rPr>
          <w:rFonts w:ascii="Arial" w:hAnsi="Arial" w:cs="Arial"/>
        </w:rPr>
      </w:pPr>
    </w:p>
    <w:p w:rsidR="00897B08" w:rsidRDefault="006874CD" w:rsidP="00897B08">
      <w:pPr>
        <w:pStyle w:val="List3"/>
        <w:rPr>
          <w:rFonts w:ascii="Arial" w:hAnsi="Arial" w:cs="Arial"/>
        </w:rPr>
      </w:pPr>
      <w:r>
        <w:rPr>
          <w:rFonts w:ascii="Arial" w:hAnsi="Arial" w:cs="Arial"/>
        </w:rPr>
        <w:t xml:space="preserve">2.   </w:t>
      </w:r>
      <w:r w:rsidR="00570502" w:rsidRPr="00570502">
        <w:rPr>
          <w:rFonts w:ascii="Arial" w:hAnsi="Arial" w:cs="Arial"/>
        </w:rPr>
        <w:t>In 1935, legislation was introduced that would have amended the statutory stream system adjudication provisions</w:t>
      </w:r>
      <w:r w:rsidR="009A50F3" w:rsidRPr="006874CD">
        <w:rPr>
          <w:rFonts w:ascii="Arial" w:hAnsi="Arial" w:cs="Arial"/>
        </w:rPr>
        <w:t xml:space="preserve"> of the Water Commission Act </w:t>
      </w:r>
      <w:r w:rsidR="00570502" w:rsidRPr="00570502">
        <w:rPr>
          <w:rFonts w:ascii="Arial" w:hAnsi="Arial" w:cs="Arial"/>
        </w:rPr>
        <w:t>to apply to groundwater, among other reforms.</w:t>
      </w:r>
      <w:r w:rsidR="00DD1388">
        <w:rPr>
          <w:rFonts w:ascii="Arial" w:hAnsi="Arial" w:cs="Arial"/>
        </w:rPr>
        <w:t xml:space="preserve"> (Sen. Bill No. 1085 (1935 Reg. Sess.) as introduced Apr. 16, 1935, § 1.)</w:t>
      </w:r>
      <w:r w:rsidR="00570502" w:rsidRPr="00570502">
        <w:rPr>
          <w:rFonts w:ascii="Arial" w:hAnsi="Arial" w:cs="Arial"/>
        </w:rPr>
        <w:t xml:space="preserve">  Before the bill was enacted it was amended to limit its applicability to surface waters and subterranean streams flowing through known and definite channels.</w:t>
      </w:r>
      <w:r w:rsidR="00857094" w:rsidRPr="006874CD">
        <w:rPr>
          <w:rFonts w:ascii="Arial" w:hAnsi="Arial" w:cs="Arial"/>
        </w:rPr>
        <w:t xml:space="preserve"> (Stats. 1935, </w:t>
      </w:r>
      <w:proofErr w:type="spellStart"/>
      <w:r w:rsidR="00857094" w:rsidRPr="006874CD">
        <w:rPr>
          <w:rFonts w:ascii="Arial" w:hAnsi="Arial" w:cs="Arial"/>
        </w:rPr>
        <w:t>ch.</w:t>
      </w:r>
      <w:proofErr w:type="spellEnd"/>
      <w:r w:rsidR="00857094" w:rsidRPr="006874CD">
        <w:rPr>
          <w:rFonts w:ascii="Arial" w:hAnsi="Arial" w:cs="Arial"/>
        </w:rPr>
        <w:t xml:space="preserve"> 647, § 1, p. 1795</w:t>
      </w:r>
      <w:r w:rsidR="006E7C28" w:rsidRPr="006874CD">
        <w:rPr>
          <w:rFonts w:ascii="Arial" w:hAnsi="Arial" w:cs="Arial"/>
        </w:rPr>
        <w:t>.</w:t>
      </w:r>
      <w:r w:rsidR="00857094" w:rsidRPr="006874CD">
        <w:rPr>
          <w:rFonts w:ascii="Arial" w:hAnsi="Arial" w:cs="Arial"/>
        </w:rPr>
        <w:t>)</w:t>
      </w:r>
      <w:r w:rsidR="006E7C28" w:rsidRPr="006874CD">
        <w:rPr>
          <w:rFonts w:ascii="Arial" w:hAnsi="Arial" w:cs="Arial"/>
        </w:rPr>
        <w:t xml:space="preserve">  In 1971, </w:t>
      </w:r>
      <w:r w:rsidR="008D69AC">
        <w:rPr>
          <w:rFonts w:ascii="Arial" w:hAnsi="Arial" w:cs="Arial"/>
        </w:rPr>
        <w:t xml:space="preserve">Assemblymember </w:t>
      </w:r>
      <w:r w:rsidR="00897B08">
        <w:rPr>
          <w:rFonts w:ascii="Arial" w:hAnsi="Arial" w:cs="Arial"/>
        </w:rPr>
        <w:t>Carley Porter, C</w:t>
      </w:r>
      <w:r w:rsidR="006E7C28" w:rsidRPr="006874CD">
        <w:rPr>
          <w:rFonts w:ascii="Arial" w:hAnsi="Arial" w:cs="Arial"/>
        </w:rPr>
        <w:t xml:space="preserve">hair of the Assembly Committee on Water, proposed to have the statutory stream adjudication provisions apply to groundwater, and to require reporting of groundwater extractions statewide.  (Porter, </w:t>
      </w:r>
      <w:r w:rsidR="006E7C28" w:rsidRPr="006874CD">
        <w:rPr>
          <w:rFonts w:ascii="Arial" w:hAnsi="Arial" w:cs="Arial"/>
          <w:i/>
        </w:rPr>
        <w:t xml:space="preserve">What’s in the Legislative Cards for Ground Water, </w:t>
      </w:r>
      <w:r w:rsidR="006E7C28" w:rsidRPr="006874CD">
        <w:rPr>
          <w:rFonts w:ascii="Arial" w:hAnsi="Arial" w:cs="Arial"/>
        </w:rPr>
        <w:t>Eighth Biennial Conference on Ground Water (1971) 63, 65-66.</w:t>
      </w:r>
      <w:r w:rsidR="00BA252C">
        <w:rPr>
          <w:rFonts w:ascii="Arial" w:hAnsi="Arial" w:cs="Arial"/>
        </w:rPr>
        <w:t>)</w:t>
      </w:r>
      <w:r w:rsidR="00897B08">
        <w:rPr>
          <w:rFonts w:ascii="Arial" w:hAnsi="Arial" w:cs="Arial"/>
        </w:rPr>
        <w:t xml:space="preserve">  The reforms were not enacted.  (See also Sen. Bill  No. 820 (2005-2006 Reg. Sess.) [bill to require </w:t>
      </w:r>
      <w:r w:rsidR="00897B08" w:rsidRPr="006874CD">
        <w:rPr>
          <w:rFonts w:ascii="Arial" w:hAnsi="Arial" w:cs="Arial"/>
        </w:rPr>
        <w:t>reporting of groundwater extractions statewide</w:t>
      </w:r>
      <w:r w:rsidR="00897B08">
        <w:rPr>
          <w:rFonts w:ascii="Arial" w:hAnsi="Arial" w:cs="Arial"/>
        </w:rPr>
        <w:t>; vetoed].)</w:t>
      </w:r>
    </w:p>
    <w:p w:rsidR="00DE3E1B" w:rsidRDefault="00DE3E1B" w:rsidP="00897B08">
      <w:pPr>
        <w:pStyle w:val="List3"/>
        <w:rPr>
          <w:rFonts w:ascii="Arial" w:hAnsi="Arial" w:cs="Arial"/>
        </w:rPr>
      </w:pPr>
    </w:p>
    <w:p w:rsidR="00DE3E1B" w:rsidRPr="00DE3E1B" w:rsidRDefault="00DE3E1B" w:rsidP="00DE3E1B">
      <w:pPr>
        <w:pStyle w:val="List3"/>
        <w:rPr>
          <w:rFonts w:ascii="Arial" w:hAnsi="Arial" w:cs="Arial"/>
        </w:rPr>
      </w:pPr>
      <w:r>
        <w:rPr>
          <w:rFonts w:ascii="Arial" w:hAnsi="Arial" w:cs="Arial"/>
        </w:rPr>
        <w:t xml:space="preserve">3.  </w:t>
      </w:r>
      <w:r w:rsidRPr="00DE3E1B">
        <w:rPr>
          <w:rFonts w:ascii="Arial" w:hAnsi="Arial" w:cs="Arial"/>
        </w:rPr>
        <w:t>The classification of groundwater does not change the State Water Board’s responsibility to consider impacts on groundwater</w:t>
      </w:r>
      <w:r w:rsidR="00FD6CAB">
        <w:rPr>
          <w:rFonts w:ascii="Arial" w:hAnsi="Arial" w:cs="Arial"/>
        </w:rPr>
        <w:t xml:space="preserve"> in the administration of surface water rights.</w:t>
      </w:r>
    </w:p>
    <w:p w:rsidR="00DE3E1B" w:rsidRPr="00DE3E1B" w:rsidRDefault="00DE3E1B" w:rsidP="00DE3E1B">
      <w:pPr>
        <w:pStyle w:val="List3"/>
        <w:rPr>
          <w:rFonts w:ascii="Arial" w:hAnsi="Arial" w:cs="Arial"/>
        </w:rPr>
      </w:pPr>
    </w:p>
    <w:p w:rsidR="00DE3E1B" w:rsidRPr="00DE3E1B" w:rsidRDefault="00DE3E1B" w:rsidP="00DE3E1B">
      <w:pPr>
        <w:pStyle w:val="List3"/>
        <w:ind w:left="1440"/>
        <w:rPr>
          <w:rFonts w:ascii="Arial" w:hAnsi="Arial" w:cs="Arial"/>
        </w:rPr>
      </w:pPr>
      <w:proofErr w:type="spellStart"/>
      <w:r w:rsidRPr="00DE3E1B">
        <w:rPr>
          <w:rFonts w:ascii="Arial" w:hAnsi="Arial" w:cs="Arial"/>
        </w:rPr>
        <w:t>i</w:t>
      </w:r>
      <w:proofErr w:type="spellEnd"/>
      <w:r w:rsidRPr="00DE3E1B">
        <w:rPr>
          <w:rFonts w:ascii="Arial" w:hAnsi="Arial" w:cs="Arial"/>
        </w:rPr>
        <w:t>.</w:t>
      </w:r>
      <w:r w:rsidRPr="00DE3E1B">
        <w:rPr>
          <w:rFonts w:ascii="Arial" w:hAnsi="Arial" w:cs="Arial"/>
        </w:rPr>
        <w:tab/>
        <w:t>In reviewing applications</w:t>
      </w:r>
      <w:r w:rsidR="00FD6CAB">
        <w:rPr>
          <w:rFonts w:ascii="Arial" w:hAnsi="Arial" w:cs="Arial"/>
        </w:rPr>
        <w:t xml:space="preserve"> for permits</w:t>
      </w:r>
      <w:r w:rsidRPr="00DE3E1B">
        <w:rPr>
          <w:rFonts w:ascii="Arial" w:hAnsi="Arial" w:cs="Arial"/>
        </w:rPr>
        <w:t xml:space="preserve"> to appropriate surface water, and in conducting statutory adjudications, State Water Board must consider impacts on interconnected groundwater. (See State Water Board Order WR 2000-13</w:t>
      </w:r>
      <w:r w:rsidR="007928B2">
        <w:rPr>
          <w:rFonts w:ascii="Arial" w:hAnsi="Arial" w:cs="Arial"/>
        </w:rPr>
        <w:t xml:space="preserve"> at</w:t>
      </w:r>
      <w:r w:rsidRPr="00DE3E1B">
        <w:rPr>
          <w:rFonts w:ascii="Arial" w:hAnsi="Arial" w:cs="Arial"/>
        </w:rPr>
        <w:t xml:space="preserve"> pp. 25-26; State Water Board Decision 1614 (1987)</w:t>
      </w:r>
      <w:r w:rsidR="007928B2">
        <w:rPr>
          <w:rFonts w:ascii="Arial" w:hAnsi="Arial" w:cs="Arial"/>
        </w:rPr>
        <w:t xml:space="preserve"> at</w:t>
      </w:r>
      <w:r w:rsidRPr="00DE3E1B">
        <w:rPr>
          <w:rFonts w:ascii="Arial" w:hAnsi="Arial" w:cs="Arial"/>
        </w:rPr>
        <w:t xml:space="preserve"> p. 2.)</w:t>
      </w:r>
    </w:p>
    <w:p w:rsidR="00DE3E1B" w:rsidRPr="00DE3E1B" w:rsidRDefault="00DE3E1B" w:rsidP="00DE3E1B">
      <w:pPr>
        <w:pStyle w:val="List3"/>
        <w:rPr>
          <w:rFonts w:ascii="Arial" w:hAnsi="Arial" w:cs="Arial"/>
        </w:rPr>
      </w:pPr>
    </w:p>
    <w:p w:rsidR="0022316D" w:rsidRDefault="00DE3E1B" w:rsidP="00DE3E1B">
      <w:pPr>
        <w:pStyle w:val="List3"/>
        <w:ind w:left="1440"/>
        <w:rPr>
          <w:rFonts w:ascii="Arial" w:hAnsi="Arial" w:cs="Arial"/>
        </w:rPr>
      </w:pPr>
      <w:r w:rsidRPr="00DE3E1B">
        <w:rPr>
          <w:rFonts w:ascii="Arial" w:hAnsi="Arial" w:cs="Arial"/>
        </w:rPr>
        <w:t>ii.</w:t>
      </w:r>
      <w:r w:rsidRPr="00DE3E1B">
        <w:rPr>
          <w:rFonts w:ascii="Arial" w:hAnsi="Arial" w:cs="Arial"/>
        </w:rPr>
        <w:tab/>
        <w:t xml:space="preserve">Where a surface water </w:t>
      </w:r>
      <w:r w:rsidR="00FD6CAB">
        <w:rPr>
          <w:rFonts w:ascii="Arial" w:hAnsi="Arial" w:cs="Arial"/>
        </w:rPr>
        <w:t xml:space="preserve">appropriation </w:t>
      </w:r>
      <w:r w:rsidRPr="00DE3E1B">
        <w:rPr>
          <w:rFonts w:ascii="Arial" w:hAnsi="Arial" w:cs="Arial"/>
        </w:rPr>
        <w:t xml:space="preserve">involves storage of water underground, the State Water Board’s authority over the permittee includes authority to regulate the </w:t>
      </w:r>
      <w:proofErr w:type="spellStart"/>
      <w:r w:rsidRPr="00DE3E1B">
        <w:rPr>
          <w:rFonts w:ascii="Arial" w:hAnsi="Arial" w:cs="Arial"/>
        </w:rPr>
        <w:t>rediversion</w:t>
      </w:r>
      <w:proofErr w:type="spellEnd"/>
      <w:r w:rsidRPr="00DE3E1B">
        <w:rPr>
          <w:rFonts w:ascii="Arial" w:hAnsi="Arial" w:cs="Arial"/>
        </w:rPr>
        <w:t xml:space="preserve"> and use of the stored water.  (See Wat. Code, §§ 1243, 1253; Cal. Code Regs., tit. 23, § 722</w:t>
      </w:r>
      <w:r w:rsidR="00B7020E">
        <w:rPr>
          <w:rFonts w:ascii="Arial" w:hAnsi="Arial" w:cs="Arial"/>
        </w:rPr>
        <w:t>.</w:t>
      </w:r>
      <w:r w:rsidRPr="00DE3E1B">
        <w:rPr>
          <w:rFonts w:ascii="Arial" w:hAnsi="Arial" w:cs="Arial"/>
        </w:rPr>
        <w:t>)</w:t>
      </w:r>
    </w:p>
    <w:p w:rsidR="00AF4D89" w:rsidRDefault="00AF4D89" w:rsidP="00DE3E1B">
      <w:pPr>
        <w:pStyle w:val="List3"/>
        <w:ind w:left="1440"/>
        <w:rPr>
          <w:rFonts w:ascii="Arial" w:hAnsi="Arial" w:cs="Arial"/>
        </w:rPr>
      </w:pPr>
    </w:p>
    <w:p w:rsidR="00AF4D89" w:rsidRDefault="00AF4D89" w:rsidP="00AF4D89">
      <w:pPr>
        <w:pStyle w:val="List3"/>
        <w:rPr>
          <w:rFonts w:ascii="Arial" w:hAnsi="Arial" w:cs="Arial"/>
        </w:rPr>
      </w:pPr>
      <w:r>
        <w:rPr>
          <w:rFonts w:ascii="Arial" w:hAnsi="Arial" w:cs="Arial"/>
        </w:rPr>
        <w:t>4.</w:t>
      </w:r>
      <w:r>
        <w:rPr>
          <w:rFonts w:ascii="Arial" w:hAnsi="Arial" w:cs="Arial"/>
        </w:rPr>
        <w:tab/>
        <w:t>Recent legislation providing for State Water Board to adopt instream flow protection requirements that apply to diversions for cannabis cultivation authorizes the State Water Board to apply those requirements to groundwater extractions. (Wat. Code, 13149, subd. (a)(1)(A).)</w:t>
      </w:r>
    </w:p>
    <w:p w:rsidR="00DE3E1B" w:rsidRDefault="00DE3E1B" w:rsidP="00DE3E1B">
      <w:pPr>
        <w:pStyle w:val="List3"/>
        <w:ind w:left="1440"/>
        <w:rPr>
          <w:rFonts w:ascii="Arial" w:hAnsi="Arial" w:cs="Arial"/>
        </w:rPr>
      </w:pPr>
    </w:p>
    <w:p w:rsidR="00FB3171" w:rsidRDefault="00FB3171" w:rsidP="00FB3171">
      <w:pPr>
        <w:pStyle w:val="List3"/>
        <w:ind w:left="360" w:firstLine="0"/>
        <w:rPr>
          <w:rFonts w:ascii="Arial" w:hAnsi="Arial" w:cs="Arial"/>
        </w:rPr>
      </w:pPr>
      <w:r>
        <w:rPr>
          <w:rFonts w:ascii="Arial" w:hAnsi="Arial" w:cs="Arial"/>
        </w:rPr>
        <w:t>C.</w:t>
      </w:r>
      <w:r>
        <w:rPr>
          <w:rFonts w:ascii="Arial" w:hAnsi="Arial" w:cs="Arial"/>
        </w:rPr>
        <w:tab/>
        <w:t>Waste and Unreasonable Use</w:t>
      </w:r>
    </w:p>
    <w:p w:rsidR="00FB3171" w:rsidRDefault="00FB3171" w:rsidP="00FB3171">
      <w:pPr>
        <w:pStyle w:val="List3"/>
        <w:rPr>
          <w:rFonts w:ascii="Arial" w:hAnsi="Arial" w:cs="Arial"/>
        </w:rPr>
      </w:pPr>
    </w:p>
    <w:p w:rsidR="00DE3E1B" w:rsidRDefault="00DE3E1B" w:rsidP="00DE3E1B">
      <w:pPr>
        <w:pStyle w:val="List3"/>
        <w:numPr>
          <w:ilvl w:val="0"/>
          <w:numId w:val="27"/>
        </w:numPr>
        <w:rPr>
          <w:rFonts w:ascii="Arial" w:hAnsi="Arial" w:cs="Arial"/>
        </w:rPr>
      </w:pPr>
      <w:r>
        <w:rPr>
          <w:rFonts w:ascii="Arial" w:hAnsi="Arial" w:cs="Arial"/>
        </w:rPr>
        <w:t xml:space="preserve">In 1939, the Legislature amended the Water Commission Act to authorize the </w:t>
      </w:r>
      <w:r w:rsidRPr="0022316D">
        <w:rPr>
          <w:rFonts w:ascii="Arial" w:hAnsi="Arial" w:cs="Arial"/>
        </w:rPr>
        <w:t>Division of Water Resources</w:t>
      </w:r>
      <w:r>
        <w:rPr>
          <w:rFonts w:ascii="Arial" w:hAnsi="Arial" w:cs="Arial"/>
        </w:rPr>
        <w:t xml:space="preserve"> (predecessor to the State Water Board)</w:t>
      </w:r>
      <w:r w:rsidRPr="0022316D">
        <w:rPr>
          <w:rFonts w:ascii="Arial" w:hAnsi="Arial" w:cs="Arial"/>
        </w:rPr>
        <w:t xml:space="preserve"> to take “all appropriate proceedings or actions” to prevent waste or unreasonable use.  (Stats. 1939, </w:t>
      </w:r>
      <w:proofErr w:type="spellStart"/>
      <w:r w:rsidRPr="0022316D">
        <w:rPr>
          <w:rFonts w:ascii="Arial" w:hAnsi="Arial" w:cs="Arial"/>
        </w:rPr>
        <w:t>ch.</w:t>
      </w:r>
      <w:proofErr w:type="spellEnd"/>
      <w:r w:rsidRPr="0022316D">
        <w:rPr>
          <w:rFonts w:ascii="Arial" w:hAnsi="Arial" w:cs="Arial"/>
        </w:rPr>
        <w:t xml:space="preserve"> 838, § 1, p. 2420.)  This authority is not limited to </w:t>
      </w:r>
      <w:r>
        <w:rPr>
          <w:rFonts w:ascii="Arial" w:hAnsi="Arial" w:cs="Arial"/>
        </w:rPr>
        <w:t xml:space="preserve">appropriations subject to the statutory appropriation system established by the Water Commission Act.  </w:t>
      </w:r>
      <w:r w:rsidRPr="0022316D">
        <w:rPr>
          <w:rFonts w:ascii="Arial" w:hAnsi="Arial" w:cs="Arial"/>
        </w:rPr>
        <w:t xml:space="preserve">(See Code Com. Notes, 67C West’s Ann. Wat. Code (2009 ed.) </w:t>
      </w:r>
      <w:proofErr w:type="spellStart"/>
      <w:r w:rsidRPr="0022316D">
        <w:rPr>
          <w:rFonts w:ascii="Arial" w:hAnsi="Arial" w:cs="Arial"/>
        </w:rPr>
        <w:t>foll</w:t>
      </w:r>
      <w:proofErr w:type="spellEnd"/>
      <w:r w:rsidRPr="0022316D">
        <w:rPr>
          <w:rFonts w:ascii="Arial" w:hAnsi="Arial" w:cs="Arial"/>
        </w:rPr>
        <w:t>. § 275, pp. 319.)</w:t>
      </w:r>
    </w:p>
    <w:p w:rsidR="00DE3E1B" w:rsidRDefault="00DE3E1B" w:rsidP="00DE3E1B">
      <w:pPr>
        <w:pStyle w:val="List3"/>
        <w:rPr>
          <w:rFonts w:ascii="Arial" w:hAnsi="Arial" w:cs="Arial"/>
        </w:rPr>
      </w:pPr>
    </w:p>
    <w:p w:rsidR="003E5611" w:rsidRDefault="003E5611" w:rsidP="00DE3E1B">
      <w:pPr>
        <w:pStyle w:val="List3"/>
        <w:numPr>
          <w:ilvl w:val="0"/>
          <w:numId w:val="27"/>
        </w:numPr>
        <w:rPr>
          <w:rFonts w:ascii="Arial" w:hAnsi="Arial" w:cs="Arial"/>
        </w:rPr>
      </w:pPr>
      <w:r>
        <w:rPr>
          <w:rFonts w:ascii="Arial" w:hAnsi="Arial" w:cs="Arial"/>
        </w:rPr>
        <w:t>The State Water Board</w:t>
      </w:r>
      <w:r w:rsidR="00DE3E1B">
        <w:rPr>
          <w:rFonts w:ascii="Arial" w:hAnsi="Arial" w:cs="Arial"/>
        </w:rPr>
        <w:t xml:space="preserve"> recognizes that it</w:t>
      </w:r>
      <w:r>
        <w:rPr>
          <w:rFonts w:ascii="Arial" w:hAnsi="Arial" w:cs="Arial"/>
        </w:rPr>
        <w:t xml:space="preserve">s authority under Water Code section 275 applies to groundwater.  </w:t>
      </w:r>
      <w:r w:rsidRPr="003E5611">
        <w:rPr>
          <w:rFonts w:ascii="Arial" w:hAnsi="Arial" w:cs="Arial"/>
        </w:rPr>
        <w:t xml:space="preserve">(State Water Board Decision 1474 (1977) [Water Code section 275 applies to groundwater]; Sax, </w:t>
      </w:r>
      <w:r w:rsidRPr="00DE3104">
        <w:rPr>
          <w:rFonts w:ascii="Arial" w:hAnsi="Arial" w:cs="Arial"/>
          <w:i/>
        </w:rPr>
        <w:t xml:space="preserve">We Don’t Do Groundwater: </w:t>
      </w:r>
      <w:proofErr w:type="gramStart"/>
      <w:r w:rsidRPr="00DE3104">
        <w:rPr>
          <w:rFonts w:ascii="Arial" w:hAnsi="Arial" w:cs="Arial"/>
          <w:i/>
        </w:rPr>
        <w:t>a</w:t>
      </w:r>
      <w:proofErr w:type="gramEnd"/>
      <w:r w:rsidRPr="00DE3104">
        <w:rPr>
          <w:rFonts w:ascii="Arial" w:hAnsi="Arial" w:cs="Arial"/>
          <w:i/>
        </w:rPr>
        <w:t xml:space="preserve"> Morsel of California Legal History</w:t>
      </w:r>
      <w:r w:rsidRPr="003E5611">
        <w:rPr>
          <w:rFonts w:ascii="Arial" w:hAnsi="Arial" w:cs="Arial"/>
        </w:rPr>
        <w:t xml:space="preserve"> (2003) 6 U. </w:t>
      </w:r>
      <w:proofErr w:type="spellStart"/>
      <w:r w:rsidRPr="003E5611">
        <w:rPr>
          <w:rFonts w:ascii="Arial" w:hAnsi="Arial" w:cs="Arial"/>
        </w:rPr>
        <w:t>Denv</w:t>
      </w:r>
      <w:proofErr w:type="spellEnd"/>
      <w:r w:rsidRPr="003E5611">
        <w:rPr>
          <w:rFonts w:ascii="Arial" w:hAnsi="Arial" w:cs="Arial"/>
        </w:rPr>
        <w:t xml:space="preserve">. Water L. Rev. 269, 308-313 [same]; Sawyer, </w:t>
      </w:r>
      <w:r w:rsidRPr="00DE3104">
        <w:rPr>
          <w:rFonts w:ascii="Arial" w:hAnsi="Arial" w:cs="Arial"/>
          <w:i/>
        </w:rPr>
        <w:t>State Regulation of Groundwater Pollution Caused by Changes in Groundwater Quality or Flow</w:t>
      </w:r>
      <w:r w:rsidRPr="003E5611">
        <w:rPr>
          <w:rFonts w:ascii="Arial" w:hAnsi="Arial" w:cs="Arial"/>
        </w:rPr>
        <w:t xml:space="preserve"> (1988) 19 Pacific L. J. 1267, 1286-1291 [same]</w:t>
      </w:r>
      <w:r>
        <w:rPr>
          <w:rFonts w:ascii="Arial" w:hAnsi="Arial" w:cs="Arial"/>
        </w:rPr>
        <w:t>.)</w:t>
      </w:r>
    </w:p>
    <w:p w:rsidR="00DE3E1B" w:rsidRDefault="00DE3E1B" w:rsidP="00DE3E1B">
      <w:pPr>
        <w:pStyle w:val="ListParagraph"/>
      </w:pPr>
    </w:p>
    <w:p w:rsidR="003E5611" w:rsidRDefault="00DE3E1B" w:rsidP="00FB3171">
      <w:pPr>
        <w:pStyle w:val="List3"/>
        <w:rPr>
          <w:rFonts w:ascii="Arial" w:hAnsi="Arial" w:cs="Arial"/>
        </w:rPr>
      </w:pPr>
      <w:r>
        <w:rPr>
          <w:rFonts w:ascii="Arial" w:hAnsi="Arial" w:cs="Arial"/>
        </w:rPr>
        <w:t>3</w:t>
      </w:r>
      <w:r w:rsidR="003E5611">
        <w:rPr>
          <w:rFonts w:ascii="Arial" w:hAnsi="Arial" w:cs="Arial"/>
        </w:rPr>
        <w:t>.  State Water Board authority under Water Code section 275 includes rulemaking authority.  (</w:t>
      </w:r>
      <w:r w:rsidR="001F6196" w:rsidRPr="001F6196">
        <w:rPr>
          <w:rFonts w:ascii="Arial" w:hAnsi="Arial" w:cs="Arial"/>
          <w:i/>
        </w:rPr>
        <w:t>Light v. State Water Resources Control Board</w:t>
      </w:r>
      <w:r w:rsidR="001F6196" w:rsidRPr="001F6196">
        <w:rPr>
          <w:rFonts w:ascii="Arial" w:hAnsi="Arial" w:cs="Arial"/>
        </w:rPr>
        <w:t xml:space="preserve"> (2014) 226 Cal.App.4th 1463, 1482</w:t>
      </w:r>
      <w:r w:rsidR="001F6196">
        <w:rPr>
          <w:rFonts w:ascii="Arial" w:hAnsi="Arial" w:cs="Arial"/>
        </w:rPr>
        <w:t>–87</w:t>
      </w:r>
      <w:r w:rsidR="003E5611">
        <w:rPr>
          <w:rFonts w:ascii="Arial" w:hAnsi="Arial" w:cs="Arial"/>
        </w:rPr>
        <w:t>; see Cal. Code Regs., tit. 23, § 862 [regulation implementing Wat. Code, § 275, applicable to both surface diversions and diversions of hydraulically connected groundwater].</w:t>
      </w:r>
      <w:r w:rsidR="003E5611" w:rsidRPr="003E5611">
        <w:rPr>
          <w:rFonts w:ascii="Arial" w:hAnsi="Arial" w:cs="Arial"/>
        </w:rPr>
        <w:t>)</w:t>
      </w:r>
    </w:p>
    <w:p w:rsidR="001F6196" w:rsidRDefault="001F6196" w:rsidP="001F6196">
      <w:pPr>
        <w:pStyle w:val="List3"/>
        <w:ind w:left="1440"/>
        <w:rPr>
          <w:rFonts w:ascii="Arial" w:hAnsi="Arial" w:cs="Arial"/>
        </w:rPr>
      </w:pPr>
    </w:p>
    <w:p w:rsidR="00FB3171" w:rsidRPr="00FB3171" w:rsidRDefault="00FB3171" w:rsidP="00FB3171">
      <w:pPr>
        <w:pStyle w:val="List3"/>
        <w:ind w:left="360" w:firstLine="0"/>
        <w:rPr>
          <w:rFonts w:ascii="Arial" w:hAnsi="Arial" w:cs="Arial"/>
        </w:rPr>
      </w:pPr>
      <w:r>
        <w:rPr>
          <w:rFonts w:ascii="Arial" w:hAnsi="Arial" w:cs="Arial"/>
        </w:rPr>
        <w:t>D.</w:t>
      </w:r>
      <w:r w:rsidRPr="00FB3171">
        <w:rPr>
          <w:rFonts w:ascii="Arial" w:hAnsi="Arial" w:cs="Arial"/>
        </w:rPr>
        <w:t xml:space="preserve"> The Public Trust Doctrine</w:t>
      </w:r>
    </w:p>
    <w:p w:rsidR="00FB3171" w:rsidRPr="00FB3171" w:rsidRDefault="00FB3171" w:rsidP="00FB3171">
      <w:pPr>
        <w:pStyle w:val="List3"/>
        <w:ind w:left="360"/>
        <w:rPr>
          <w:rFonts w:ascii="Arial" w:hAnsi="Arial" w:cs="Arial"/>
        </w:rPr>
      </w:pPr>
    </w:p>
    <w:p w:rsidR="00FB3171" w:rsidRPr="00FB3171" w:rsidRDefault="00FB3171" w:rsidP="00FB3171">
      <w:pPr>
        <w:pStyle w:val="List3"/>
        <w:rPr>
          <w:rFonts w:ascii="Arial" w:hAnsi="Arial" w:cs="Arial"/>
        </w:rPr>
      </w:pPr>
      <w:r w:rsidRPr="00FB3171">
        <w:rPr>
          <w:rFonts w:ascii="Arial" w:hAnsi="Arial" w:cs="Arial"/>
        </w:rPr>
        <w:t>1.</w:t>
      </w:r>
      <w:r w:rsidRPr="00FB3171">
        <w:rPr>
          <w:rFonts w:ascii="Arial" w:hAnsi="Arial" w:cs="Arial"/>
        </w:rPr>
        <w:tab/>
        <w:t>California’s public trust doctrine applies to water diversion and use.</w:t>
      </w:r>
    </w:p>
    <w:p w:rsidR="00FB3171" w:rsidRPr="00FB3171" w:rsidRDefault="00FB3171" w:rsidP="00FB3171">
      <w:pPr>
        <w:pStyle w:val="List3"/>
        <w:ind w:left="360"/>
        <w:rPr>
          <w:rFonts w:ascii="Arial" w:hAnsi="Arial" w:cs="Arial"/>
        </w:rPr>
      </w:pPr>
    </w:p>
    <w:p w:rsidR="00FB3171" w:rsidRPr="00FB3171" w:rsidRDefault="00FB3171" w:rsidP="00FB3171">
      <w:pPr>
        <w:pStyle w:val="List3"/>
        <w:ind w:left="1440"/>
        <w:rPr>
          <w:rFonts w:ascii="Arial" w:hAnsi="Arial" w:cs="Arial"/>
        </w:rPr>
      </w:pPr>
      <w:r w:rsidRPr="00FB3171">
        <w:rPr>
          <w:rFonts w:ascii="Arial" w:hAnsi="Arial" w:cs="Arial"/>
        </w:rPr>
        <w:t>a.  The state has an affirmative duty to take the public trust into account in the planning and allocation of water resources, and to protect public trust uses whenever feasible. (</w:t>
      </w:r>
      <w:r w:rsidRPr="00FB3171">
        <w:rPr>
          <w:rFonts w:ascii="Arial" w:hAnsi="Arial" w:cs="Arial"/>
          <w:i/>
        </w:rPr>
        <w:t>National Audubon Society v. Superior Court</w:t>
      </w:r>
      <w:r w:rsidRPr="00FB3171">
        <w:rPr>
          <w:rFonts w:ascii="Arial" w:hAnsi="Arial" w:cs="Arial"/>
        </w:rPr>
        <w:t xml:space="preserve"> (1983) 33 Cal.3d 419, 446.)</w:t>
      </w:r>
    </w:p>
    <w:p w:rsidR="00FB3171" w:rsidRPr="00FB3171" w:rsidRDefault="00FB3171" w:rsidP="00FB3171">
      <w:pPr>
        <w:pStyle w:val="List3"/>
        <w:ind w:left="360"/>
        <w:rPr>
          <w:rFonts w:ascii="Arial" w:hAnsi="Arial" w:cs="Arial"/>
        </w:rPr>
      </w:pPr>
    </w:p>
    <w:p w:rsidR="00FB3171" w:rsidRPr="00FB3171" w:rsidRDefault="00FB3171" w:rsidP="00FB3171">
      <w:pPr>
        <w:pStyle w:val="List3"/>
        <w:ind w:left="1440"/>
        <w:rPr>
          <w:rFonts w:ascii="Arial" w:hAnsi="Arial" w:cs="Arial"/>
        </w:rPr>
      </w:pPr>
      <w:r w:rsidRPr="00FB3171">
        <w:rPr>
          <w:rFonts w:ascii="Arial" w:hAnsi="Arial" w:cs="Arial"/>
        </w:rPr>
        <w:t>b.</w:t>
      </w:r>
      <w:r w:rsidRPr="00FB3171">
        <w:rPr>
          <w:rFonts w:ascii="Arial" w:hAnsi="Arial" w:cs="Arial"/>
        </w:rPr>
        <w:tab/>
        <w:t>The purpose of the public trust is to protect navigation, fishing, recreation, environmental values, and fish and wildlife habitat.  (</w:t>
      </w:r>
      <w:r w:rsidRPr="00676F67">
        <w:rPr>
          <w:rFonts w:ascii="Arial" w:hAnsi="Arial" w:cs="Arial"/>
          <w:i/>
        </w:rPr>
        <w:t>Id.</w:t>
      </w:r>
      <w:r w:rsidRPr="00FB3171">
        <w:rPr>
          <w:rFonts w:ascii="Arial" w:hAnsi="Arial" w:cs="Arial"/>
        </w:rPr>
        <w:t xml:space="preserve"> at pp. 434-435.)</w:t>
      </w:r>
    </w:p>
    <w:p w:rsidR="00FB3171" w:rsidRPr="00FB3171" w:rsidRDefault="00FB3171" w:rsidP="00FB3171">
      <w:pPr>
        <w:pStyle w:val="List3"/>
        <w:ind w:left="360"/>
        <w:rPr>
          <w:rFonts w:ascii="Arial" w:hAnsi="Arial" w:cs="Arial"/>
        </w:rPr>
      </w:pPr>
    </w:p>
    <w:p w:rsidR="00FB3171" w:rsidRPr="00FB3171" w:rsidRDefault="00FB3171" w:rsidP="00FB3171">
      <w:pPr>
        <w:pStyle w:val="List3"/>
        <w:ind w:left="1440"/>
        <w:rPr>
          <w:rFonts w:ascii="Arial" w:hAnsi="Arial" w:cs="Arial"/>
        </w:rPr>
      </w:pPr>
      <w:r w:rsidRPr="00FB3171">
        <w:rPr>
          <w:rFonts w:ascii="Arial" w:hAnsi="Arial" w:cs="Arial"/>
        </w:rPr>
        <w:t>c.</w:t>
      </w:r>
      <w:r w:rsidRPr="00FB3171">
        <w:rPr>
          <w:rFonts w:ascii="Arial" w:hAnsi="Arial" w:cs="Arial"/>
        </w:rPr>
        <w:tab/>
        <w:t>The public trust protects public trust uses of navigable waters, including waters navigable by recreational craft, and applies to upstream diversions that affect navigable waters.  (</w:t>
      </w:r>
      <w:r w:rsidRPr="00676F67">
        <w:rPr>
          <w:rFonts w:ascii="Arial" w:hAnsi="Arial" w:cs="Arial"/>
          <w:i/>
        </w:rPr>
        <w:t>Id.</w:t>
      </w:r>
      <w:r w:rsidRPr="00FB3171">
        <w:rPr>
          <w:rFonts w:ascii="Arial" w:hAnsi="Arial" w:cs="Arial"/>
        </w:rPr>
        <w:t xml:space="preserve"> at pp. 435-37.)  A variant of the public trust applies to activities which harm the fishery in non-navigable waters.  (</w:t>
      </w:r>
      <w:r w:rsidRPr="00FB3171">
        <w:rPr>
          <w:rFonts w:ascii="Arial" w:hAnsi="Arial" w:cs="Arial"/>
          <w:i/>
        </w:rPr>
        <w:t>People v. Truckee Lumber Co.</w:t>
      </w:r>
      <w:r w:rsidRPr="00FB3171">
        <w:rPr>
          <w:rFonts w:ascii="Arial" w:hAnsi="Arial" w:cs="Arial"/>
        </w:rPr>
        <w:t xml:space="preserve"> (1897) 116 Cal. 397, 399; see </w:t>
      </w:r>
      <w:r w:rsidRPr="00FB3171">
        <w:rPr>
          <w:rFonts w:ascii="Arial" w:hAnsi="Arial" w:cs="Arial"/>
          <w:i/>
        </w:rPr>
        <w:t>California Trout, Inc. v. State Water Resources Control Board</w:t>
      </w:r>
      <w:r w:rsidRPr="00FB3171">
        <w:rPr>
          <w:rFonts w:ascii="Arial" w:hAnsi="Arial" w:cs="Arial"/>
        </w:rPr>
        <w:t xml:space="preserve"> (1989) 207 Cal.App.3d 585, 630.)</w:t>
      </w:r>
    </w:p>
    <w:p w:rsidR="00FB3171" w:rsidRPr="00FB3171" w:rsidRDefault="00FB3171" w:rsidP="00FB3171">
      <w:pPr>
        <w:pStyle w:val="List3"/>
        <w:ind w:left="360"/>
        <w:rPr>
          <w:rFonts w:ascii="Arial" w:hAnsi="Arial" w:cs="Arial"/>
        </w:rPr>
      </w:pPr>
    </w:p>
    <w:p w:rsidR="00FB3171" w:rsidRPr="00FB3171" w:rsidRDefault="00FB3171" w:rsidP="00FB3171">
      <w:pPr>
        <w:pStyle w:val="List3"/>
        <w:ind w:left="1440"/>
        <w:rPr>
          <w:rFonts w:ascii="Arial" w:hAnsi="Arial" w:cs="Arial"/>
        </w:rPr>
      </w:pPr>
      <w:r w:rsidRPr="00FB3171">
        <w:rPr>
          <w:rFonts w:ascii="Arial" w:hAnsi="Arial" w:cs="Arial"/>
        </w:rPr>
        <w:t>d.</w:t>
      </w:r>
      <w:r w:rsidRPr="00FB3171">
        <w:rPr>
          <w:rFonts w:ascii="Arial" w:hAnsi="Arial" w:cs="Arial"/>
        </w:rPr>
        <w:tab/>
        <w:t>Diversions may be permitted despite harm to public trust interests, but the state must be mindful of its duty as trustee to consider the effects on public trust values and “to preserve, so far as consistent with the public interest, the uses protected by the trust.” (</w:t>
      </w:r>
      <w:r w:rsidRPr="00FB3171">
        <w:rPr>
          <w:rFonts w:ascii="Arial" w:hAnsi="Arial" w:cs="Arial"/>
          <w:i/>
        </w:rPr>
        <w:t>National Audubon Society v. Superior Court, supra</w:t>
      </w:r>
      <w:r>
        <w:rPr>
          <w:rFonts w:ascii="Arial" w:hAnsi="Arial" w:cs="Arial"/>
        </w:rPr>
        <w:t>,</w:t>
      </w:r>
      <w:r w:rsidRPr="00FB3171">
        <w:rPr>
          <w:rFonts w:ascii="Arial" w:hAnsi="Arial" w:cs="Arial"/>
        </w:rPr>
        <w:t xml:space="preserve"> at pp. 446-447.)</w:t>
      </w:r>
    </w:p>
    <w:p w:rsidR="00FB3171" w:rsidRPr="00FB3171" w:rsidRDefault="00FB3171" w:rsidP="00FB3171">
      <w:pPr>
        <w:pStyle w:val="List3"/>
        <w:ind w:left="360"/>
        <w:rPr>
          <w:rFonts w:ascii="Arial" w:hAnsi="Arial" w:cs="Arial"/>
        </w:rPr>
      </w:pPr>
    </w:p>
    <w:p w:rsidR="00FB3171" w:rsidRPr="00FB3171" w:rsidRDefault="00FB3171" w:rsidP="00FB3171">
      <w:pPr>
        <w:pStyle w:val="List3"/>
        <w:ind w:left="1440"/>
        <w:rPr>
          <w:rFonts w:ascii="Arial" w:hAnsi="Arial" w:cs="Arial"/>
        </w:rPr>
      </w:pPr>
      <w:r w:rsidRPr="00FB3171">
        <w:rPr>
          <w:rFonts w:ascii="Arial" w:hAnsi="Arial" w:cs="Arial"/>
        </w:rPr>
        <w:t>e.</w:t>
      </w:r>
      <w:r w:rsidRPr="00FB3171">
        <w:rPr>
          <w:rFonts w:ascii="Arial" w:hAnsi="Arial" w:cs="Arial"/>
        </w:rPr>
        <w:tab/>
        <w:t>No party can acquire a vested right to appropriate water in a manner harmful to the public trust.  (</w:t>
      </w:r>
      <w:r>
        <w:rPr>
          <w:rFonts w:ascii="Arial" w:hAnsi="Arial" w:cs="Arial"/>
          <w:i/>
        </w:rPr>
        <w:t>Id.</w:t>
      </w:r>
      <w:r w:rsidRPr="00FB3171">
        <w:rPr>
          <w:rFonts w:ascii="Arial" w:hAnsi="Arial" w:cs="Arial"/>
        </w:rPr>
        <w:t xml:space="preserve"> at p. 445.)  Even after an appropriation has been approved, the public trust imposes a duty of continuing supervision.  In applying the public trust doctrine, the state has the power to reconsider past water allocations. (</w:t>
      </w:r>
      <w:r w:rsidRPr="00FB3171">
        <w:rPr>
          <w:rFonts w:ascii="Arial" w:hAnsi="Arial" w:cs="Arial"/>
          <w:i/>
        </w:rPr>
        <w:t>Id</w:t>
      </w:r>
      <w:r w:rsidRPr="00FB3171">
        <w:rPr>
          <w:rFonts w:ascii="Arial" w:hAnsi="Arial" w:cs="Arial"/>
        </w:rPr>
        <w:t>. at p. 447.)</w:t>
      </w:r>
    </w:p>
    <w:p w:rsidR="00FB3171" w:rsidRPr="00FB3171" w:rsidRDefault="00FB3171" w:rsidP="00FB3171">
      <w:pPr>
        <w:pStyle w:val="List3"/>
        <w:ind w:left="360"/>
        <w:rPr>
          <w:rFonts w:ascii="Arial" w:hAnsi="Arial" w:cs="Arial"/>
        </w:rPr>
      </w:pPr>
    </w:p>
    <w:p w:rsidR="00FB3171" w:rsidRPr="00FB3171" w:rsidRDefault="00FB3171" w:rsidP="00FB3171">
      <w:pPr>
        <w:pStyle w:val="List3"/>
        <w:ind w:left="1440"/>
        <w:rPr>
          <w:rFonts w:ascii="Arial" w:hAnsi="Arial" w:cs="Arial"/>
        </w:rPr>
      </w:pPr>
      <w:r w:rsidRPr="00FB3171">
        <w:rPr>
          <w:rFonts w:ascii="Arial" w:hAnsi="Arial" w:cs="Arial"/>
        </w:rPr>
        <w:t>f.</w:t>
      </w:r>
      <w:r w:rsidRPr="00FB3171">
        <w:rPr>
          <w:rFonts w:ascii="Arial" w:hAnsi="Arial" w:cs="Arial"/>
        </w:rPr>
        <w:tab/>
        <w:t xml:space="preserve">The State Water Board has authority to apply the public trust doctrine to diversions under all bases of right recognized under California law. (See </w:t>
      </w:r>
      <w:r w:rsidRPr="00FB3171">
        <w:rPr>
          <w:rFonts w:ascii="Arial" w:hAnsi="Arial" w:cs="Arial"/>
          <w:i/>
        </w:rPr>
        <w:t xml:space="preserve">In re Water of Hallett Creek Stream System </w:t>
      </w:r>
      <w:r w:rsidRPr="00FB3171">
        <w:rPr>
          <w:rFonts w:ascii="Arial" w:hAnsi="Arial" w:cs="Arial"/>
        </w:rPr>
        <w:t>(1988) 44 Cal.3d 448, 472 fn. 16 [riparian rights]; State Water Board Order 95-4 at 14-15 [pre-1914 rights).)</w:t>
      </w:r>
    </w:p>
    <w:p w:rsidR="00FB3171" w:rsidRPr="00FB3171" w:rsidRDefault="00FB3171" w:rsidP="00FB3171">
      <w:pPr>
        <w:pStyle w:val="List3"/>
        <w:ind w:left="360"/>
        <w:rPr>
          <w:rFonts w:ascii="Arial" w:hAnsi="Arial" w:cs="Arial"/>
        </w:rPr>
      </w:pPr>
    </w:p>
    <w:p w:rsidR="00FB3171" w:rsidRPr="00FB3171" w:rsidRDefault="00FB3171" w:rsidP="00FB3171">
      <w:pPr>
        <w:pStyle w:val="List3"/>
        <w:ind w:left="1440"/>
        <w:rPr>
          <w:rFonts w:ascii="Arial" w:hAnsi="Arial" w:cs="Arial"/>
        </w:rPr>
      </w:pPr>
      <w:r w:rsidRPr="00FB3171">
        <w:rPr>
          <w:rFonts w:ascii="Arial" w:hAnsi="Arial" w:cs="Arial"/>
        </w:rPr>
        <w:t>g.</w:t>
      </w:r>
      <w:r w:rsidRPr="00FB3171">
        <w:rPr>
          <w:rFonts w:ascii="Arial" w:hAnsi="Arial" w:cs="Arial"/>
        </w:rPr>
        <w:tab/>
        <w:t>The State Water Board and the courts have concurrent jurisdiction to apply the public trust doctrine.  (</w:t>
      </w:r>
      <w:r w:rsidRPr="00FB3171">
        <w:rPr>
          <w:rFonts w:ascii="Arial" w:hAnsi="Arial" w:cs="Arial"/>
          <w:i/>
        </w:rPr>
        <w:t>Id</w:t>
      </w:r>
      <w:r w:rsidRPr="00FB3171">
        <w:rPr>
          <w:rFonts w:ascii="Arial" w:hAnsi="Arial" w:cs="Arial"/>
        </w:rPr>
        <w:t>. at 449-451.)</w:t>
      </w:r>
    </w:p>
    <w:p w:rsidR="00FB3171" w:rsidRPr="00FB3171" w:rsidRDefault="00FB3171" w:rsidP="00FB3171">
      <w:pPr>
        <w:pStyle w:val="List3"/>
        <w:ind w:left="360"/>
        <w:rPr>
          <w:rFonts w:ascii="Arial" w:hAnsi="Arial" w:cs="Arial"/>
        </w:rPr>
      </w:pPr>
    </w:p>
    <w:p w:rsidR="00FB3171" w:rsidRPr="00FB3171" w:rsidRDefault="00FB3171" w:rsidP="00FB3171">
      <w:pPr>
        <w:pStyle w:val="List3"/>
        <w:rPr>
          <w:rFonts w:ascii="Arial" w:hAnsi="Arial" w:cs="Arial"/>
        </w:rPr>
      </w:pPr>
      <w:r w:rsidRPr="00FB3171">
        <w:rPr>
          <w:rFonts w:ascii="Arial" w:hAnsi="Arial" w:cs="Arial"/>
        </w:rPr>
        <w:t>2.  The public trust applies to protect public trust uses of surface waters from harm caused by groundwater extractions.</w:t>
      </w:r>
    </w:p>
    <w:p w:rsidR="00FB3171" w:rsidRPr="00FB3171" w:rsidRDefault="00FB3171" w:rsidP="00FB3171">
      <w:pPr>
        <w:pStyle w:val="List3"/>
        <w:ind w:left="360"/>
        <w:rPr>
          <w:rFonts w:ascii="Arial" w:hAnsi="Arial" w:cs="Arial"/>
        </w:rPr>
      </w:pPr>
    </w:p>
    <w:p w:rsidR="00FB3171" w:rsidRPr="00FB3171" w:rsidRDefault="00FB3171" w:rsidP="00FB3171">
      <w:pPr>
        <w:pStyle w:val="List3"/>
        <w:ind w:left="1440"/>
        <w:rPr>
          <w:rFonts w:ascii="Arial" w:hAnsi="Arial" w:cs="Arial"/>
        </w:rPr>
      </w:pPr>
      <w:r w:rsidRPr="00FB3171">
        <w:rPr>
          <w:rFonts w:ascii="Arial" w:hAnsi="Arial" w:cs="Arial"/>
        </w:rPr>
        <w:t xml:space="preserve">a.   California does not treat percolating groundwater as a public trust resource.  (See </w:t>
      </w:r>
      <w:r w:rsidRPr="00676F67">
        <w:rPr>
          <w:rFonts w:ascii="Arial" w:hAnsi="Arial" w:cs="Arial"/>
          <w:i/>
        </w:rPr>
        <w:t>Santa Teresa Citizen Action Group v. City of San Jose</w:t>
      </w:r>
      <w:r w:rsidRPr="00FB3171">
        <w:rPr>
          <w:rFonts w:ascii="Arial" w:hAnsi="Arial" w:cs="Arial"/>
        </w:rPr>
        <w:t xml:space="preserve"> (2003) 114 Cal.App.4th 689, 709 [The public trust doctrine “has no direct application to groundwater.”  Absent evidence of a threat to the public’s interest in a surface waterway, “the issue is not ripe for decision.”])</w:t>
      </w:r>
    </w:p>
    <w:p w:rsidR="00FB3171" w:rsidRPr="00FB3171" w:rsidRDefault="00FB3171" w:rsidP="00FB3171">
      <w:pPr>
        <w:pStyle w:val="List3"/>
        <w:ind w:left="360"/>
        <w:rPr>
          <w:rFonts w:ascii="Arial" w:hAnsi="Arial" w:cs="Arial"/>
        </w:rPr>
      </w:pPr>
    </w:p>
    <w:p w:rsidR="00FB3171" w:rsidRPr="00FB3171" w:rsidRDefault="00FB3171" w:rsidP="00FB3171">
      <w:pPr>
        <w:pStyle w:val="List3"/>
        <w:ind w:left="1440"/>
        <w:rPr>
          <w:rFonts w:ascii="Arial" w:hAnsi="Arial" w:cs="Arial"/>
        </w:rPr>
      </w:pPr>
      <w:r w:rsidRPr="00FB3171">
        <w:rPr>
          <w:rFonts w:ascii="Arial" w:hAnsi="Arial" w:cs="Arial"/>
        </w:rPr>
        <w:t>b.</w:t>
      </w:r>
      <w:r w:rsidRPr="00FB3171">
        <w:rPr>
          <w:rFonts w:ascii="Arial" w:hAnsi="Arial" w:cs="Arial"/>
        </w:rPr>
        <w:tab/>
        <w:t xml:space="preserve">The applicability of the public trust doctrine is not limited to activities that occur in or on waters that are public trust resources – it is a limitation on activities that affect public trust resources.  (See </w:t>
      </w:r>
      <w:r w:rsidRPr="00676F67">
        <w:rPr>
          <w:rFonts w:ascii="Arial" w:hAnsi="Arial" w:cs="Arial"/>
          <w:i/>
        </w:rPr>
        <w:t>National Audubon Society v. Superior Court</w:t>
      </w:r>
      <w:r w:rsidRPr="00FB3171">
        <w:rPr>
          <w:rFonts w:ascii="Arial" w:hAnsi="Arial" w:cs="Arial"/>
        </w:rPr>
        <w:t xml:space="preserve"> (1983) 33 Cal.3d 419, 435-437 [the public trust doctrine protects navigable waters from harm caused by diversion of </w:t>
      </w:r>
      <w:proofErr w:type="spellStart"/>
      <w:r w:rsidRPr="00FB3171">
        <w:rPr>
          <w:rFonts w:ascii="Arial" w:hAnsi="Arial" w:cs="Arial"/>
        </w:rPr>
        <w:t>nonnavigable</w:t>
      </w:r>
      <w:proofErr w:type="spellEnd"/>
      <w:r w:rsidRPr="00FB3171">
        <w:rPr>
          <w:rFonts w:ascii="Arial" w:hAnsi="Arial" w:cs="Arial"/>
        </w:rPr>
        <w:t xml:space="preserve"> tributaries].)  Hence, the public trust doctrine should apply to protect public trust uses of surface waters from harm caused by groundwater extractions.</w:t>
      </w:r>
    </w:p>
    <w:p w:rsidR="00FB3171" w:rsidRPr="00FB3171" w:rsidRDefault="00FB3171" w:rsidP="00FB3171">
      <w:pPr>
        <w:pStyle w:val="List3"/>
        <w:ind w:left="360"/>
        <w:rPr>
          <w:rFonts w:ascii="Arial" w:hAnsi="Arial" w:cs="Arial"/>
        </w:rPr>
      </w:pPr>
    </w:p>
    <w:p w:rsidR="00FB3171" w:rsidRDefault="00FB3171" w:rsidP="00FD6CAB">
      <w:pPr>
        <w:pStyle w:val="List3"/>
        <w:numPr>
          <w:ilvl w:val="0"/>
          <w:numId w:val="34"/>
        </w:numPr>
        <w:rPr>
          <w:rFonts w:ascii="Arial" w:hAnsi="Arial" w:cs="Arial"/>
        </w:rPr>
      </w:pPr>
      <w:r w:rsidRPr="00676F67">
        <w:rPr>
          <w:rFonts w:ascii="Arial" w:hAnsi="Arial" w:cs="Arial"/>
          <w:i/>
        </w:rPr>
        <w:t>Environmental Law Foundation v. State Water Resources Control Board</w:t>
      </w:r>
      <w:r w:rsidRPr="00FB3171">
        <w:rPr>
          <w:rFonts w:ascii="Arial" w:hAnsi="Arial" w:cs="Arial"/>
        </w:rPr>
        <w:t xml:space="preserve"> (</w:t>
      </w:r>
      <w:r w:rsidR="00C207E2" w:rsidRPr="00C207E2">
        <w:rPr>
          <w:rFonts w:ascii="Arial" w:hAnsi="Arial" w:cs="Arial"/>
        </w:rPr>
        <w:t>26 Cal.App.5th 844</w:t>
      </w:r>
      <w:r w:rsidR="00C207E2">
        <w:rPr>
          <w:rFonts w:ascii="Arial" w:hAnsi="Arial" w:cs="Arial"/>
        </w:rPr>
        <w:t>.)</w:t>
      </w:r>
    </w:p>
    <w:p w:rsidR="00FD6CAB" w:rsidRDefault="00FD6CAB" w:rsidP="00FD6CAB">
      <w:pPr>
        <w:pStyle w:val="List3"/>
        <w:ind w:left="1440" w:firstLine="0"/>
        <w:rPr>
          <w:rFonts w:ascii="Arial" w:hAnsi="Arial" w:cs="Arial"/>
        </w:rPr>
      </w:pPr>
    </w:p>
    <w:p w:rsidR="00C207E2" w:rsidRDefault="00C207E2" w:rsidP="00C207E2">
      <w:pPr>
        <w:pStyle w:val="List3"/>
        <w:tabs>
          <w:tab w:val="left" w:pos="1440"/>
        </w:tabs>
        <w:ind w:left="1800"/>
        <w:rPr>
          <w:rFonts w:ascii="Arial" w:hAnsi="Arial" w:cs="Arial"/>
        </w:rPr>
      </w:pPr>
      <w:proofErr w:type="spellStart"/>
      <w:r>
        <w:rPr>
          <w:rFonts w:ascii="Arial" w:hAnsi="Arial" w:cs="Arial"/>
        </w:rPr>
        <w:t>i</w:t>
      </w:r>
      <w:proofErr w:type="spellEnd"/>
      <w:r>
        <w:rPr>
          <w:rFonts w:ascii="Arial" w:hAnsi="Arial" w:cs="Arial"/>
        </w:rPr>
        <w:t>.   The p</w:t>
      </w:r>
      <w:r w:rsidRPr="00C207E2">
        <w:rPr>
          <w:rFonts w:ascii="Arial" w:hAnsi="Arial" w:cs="Arial"/>
        </w:rPr>
        <w:t>ublic trust doctrine applie</w:t>
      </w:r>
      <w:r>
        <w:rPr>
          <w:rFonts w:ascii="Arial" w:hAnsi="Arial" w:cs="Arial"/>
        </w:rPr>
        <w:t>s</w:t>
      </w:r>
      <w:r w:rsidRPr="00C207E2">
        <w:rPr>
          <w:rFonts w:ascii="Arial" w:hAnsi="Arial" w:cs="Arial"/>
        </w:rPr>
        <w:t xml:space="preserve"> to the extraction of groundwater to the extent that the extraction adversely impact</w:t>
      </w:r>
      <w:r>
        <w:rPr>
          <w:rFonts w:ascii="Arial" w:hAnsi="Arial" w:cs="Arial"/>
        </w:rPr>
        <w:t xml:space="preserve">s a </w:t>
      </w:r>
      <w:r w:rsidRPr="00C207E2">
        <w:rPr>
          <w:rFonts w:ascii="Arial" w:hAnsi="Arial" w:cs="Arial"/>
        </w:rPr>
        <w:t>navigable waterway</w:t>
      </w:r>
      <w:r>
        <w:rPr>
          <w:rFonts w:ascii="Arial" w:hAnsi="Arial" w:cs="Arial"/>
        </w:rPr>
        <w:t>.</w:t>
      </w:r>
    </w:p>
    <w:p w:rsidR="00C207E2" w:rsidRDefault="00C207E2" w:rsidP="00C207E2">
      <w:pPr>
        <w:pStyle w:val="List3"/>
        <w:tabs>
          <w:tab w:val="left" w:pos="1440"/>
        </w:tabs>
        <w:ind w:left="1800"/>
        <w:rPr>
          <w:rFonts w:ascii="Arial" w:hAnsi="Arial" w:cs="Arial"/>
        </w:rPr>
      </w:pPr>
    </w:p>
    <w:p w:rsidR="00C207E2" w:rsidRDefault="00C207E2" w:rsidP="00C207E2">
      <w:pPr>
        <w:pStyle w:val="List3"/>
        <w:tabs>
          <w:tab w:val="left" w:pos="1440"/>
        </w:tabs>
        <w:ind w:left="1800"/>
        <w:rPr>
          <w:rFonts w:ascii="Arial" w:hAnsi="Arial" w:cs="Arial"/>
        </w:rPr>
      </w:pPr>
      <w:r>
        <w:rPr>
          <w:rFonts w:ascii="Arial" w:hAnsi="Arial" w:cs="Arial"/>
        </w:rPr>
        <w:t>ii.</w:t>
      </w:r>
      <w:r>
        <w:rPr>
          <w:rFonts w:ascii="Arial" w:hAnsi="Arial" w:cs="Arial"/>
        </w:rPr>
        <w:tab/>
      </w:r>
      <w:r w:rsidR="00756B60">
        <w:rPr>
          <w:rFonts w:ascii="Arial" w:hAnsi="Arial" w:cs="Arial"/>
        </w:rPr>
        <w:t>Both t</w:t>
      </w:r>
      <w:r>
        <w:rPr>
          <w:rFonts w:ascii="Arial" w:hAnsi="Arial" w:cs="Arial"/>
        </w:rPr>
        <w:t>he State Water Board and a county</w:t>
      </w:r>
      <w:r w:rsidR="00756B60">
        <w:rPr>
          <w:rFonts w:ascii="Arial" w:hAnsi="Arial" w:cs="Arial"/>
        </w:rPr>
        <w:t xml:space="preserve">, as a political subdivision of the state, have public trust responsibilities. </w:t>
      </w:r>
      <w:r>
        <w:rPr>
          <w:rFonts w:ascii="Arial" w:hAnsi="Arial" w:cs="Arial"/>
        </w:rPr>
        <w:t xml:space="preserve"> </w:t>
      </w:r>
    </w:p>
    <w:p w:rsidR="00C207E2" w:rsidRDefault="00C207E2" w:rsidP="00C207E2">
      <w:pPr>
        <w:pStyle w:val="List3"/>
        <w:tabs>
          <w:tab w:val="left" w:pos="1440"/>
        </w:tabs>
        <w:ind w:left="1800"/>
        <w:rPr>
          <w:rFonts w:ascii="Arial" w:hAnsi="Arial" w:cs="Arial"/>
        </w:rPr>
      </w:pPr>
    </w:p>
    <w:p w:rsidR="00C207E2" w:rsidRPr="00C207E2" w:rsidRDefault="00C207E2" w:rsidP="00C207E2">
      <w:pPr>
        <w:pStyle w:val="List3"/>
        <w:tabs>
          <w:tab w:val="left" w:pos="1440"/>
        </w:tabs>
        <w:ind w:left="1800"/>
        <w:rPr>
          <w:rFonts w:ascii="Arial" w:hAnsi="Arial" w:cs="Arial"/>
        </w:rPr>
      </w:pPr>
      <w:r>
        <w:rPr>
          <w:rFonts w:ascii="Arial" w:hAnsi="Arial" w:cs="Arial"/>
        </w:rPr>
        <w:t xml:space="preserve">iii.  The Sustainable Groundwater Management Act </w:t>
      </w:r>
      <w:r w:rsidRPr="00C207E2">
        <w:rPr>
          <w:rFonts w:ascii="Arial" w:hAnsi="Arial" w:cs="Arial"/>
        </w:rPr>
        <w:t>(SGMA) d</w:t>
      </w:r>
      <w:r>
        <w:rPr>
          <w:rFonts w:ascii="Arial" w:hAnsi="Arial" w:cs="Arial"/>
        </w:rPr>
        <w:t>oes</w:t>
      </w:r>
      <w:r w:rsidRPr="00C207E2">
        <w:rPr>
          <w:rFonts w:ascii="Arial" w:hAnsi="Arial" w:cs="Arial"/>
        </w:rPr>
        <w:t xml:space="preserve"> not supplant common law or abrogate state's public trust duty to consider impact of groundwater extraction on rivers</w:t>
      </w:r>
    </w:p>
    <w:p w:rsidR="00C207E2" w:rsidRPr="00C207E2" w:rsidRDefault="00C207E2" w:rsidP="00C207E2">
      <w:pPr>
        <w:pStyle w:val="List3"/>
        <w:tabs>
          <w:tab w:val="left" w:pos="1440"/>
        </w:tabs>
        <w:ind w:left="1800"/>
        <w:rPr>
          <w:rFonts w:ascii="Arial" w:hAnsi="Arial" w:cs="Arial"/>
        </w:rPr>
      </w:pPr>
    </w:p>
    <w:p w:rsidR="00406D70" w:rsidRDefault="00EE353A" w:rsidP="00C61F6D">
      <w:pPr>
        <w:pStyle w:val="BodyText"/>
        <w:ind w:left="360" w:hanging="360"/>
        <w:rPr>
          <w:rFonts w:ascii="Arial" w:hAnsi="Arial" w:cs="Arial"/>
        </w:rPr>
      </w:pPr>
      <w:r>
        <w:rPr>
          <w:rFonts w:ascii="Arial" w:hAnsi="Arial" w:cs="Arial"/>
          <w:szCs w:val="24"/>
        </w:rPr>
        <w:t xml:space="preserve">III.  </w:t>
      </w:r>
      <w:r w:rsidR="00C61F6D">
        <w:rPr>
          <w:rFonts w:ascii="Arial" w:hAnsi="Arial" w:cs="Arial"/>
          <w:szCs w:val="24"/>
        </w:rPr>
        <w:t>The Sustainable Groundwater Management Act (SGMA)(</w:t>
      </w:r>
      <w:r w:rsidR="00406D70">
        <w:rPr>
          <w:rFonts w:ascii="Arial" w:hAnsi="Arial" w:cs="Arial"/>
        </w:rPr>
        <w:t>Wat. Code, § 10720 et seq.</w:t>
      </w:r>
      <w:r w:rsidR="00C61F6D">
        <w:rPr>
          <w:rFonts w:ascii="Arial" w:hAnsi="Arial" w:cs="Arial"/>
        </w:rPr>
        <w:t>)</w:t>
      </w:r>
    </w:p>
    <w:p w:rsidR="00C61F6D" w:rsidRDefault="00C61F6D" w:rsidP="00C61F6D">
      <w:pPr>
        <w:pStyle w:val="BodyText"/>
        <w:numPr>
          <w:ilvl w:val="0"/>
          <w:numId w:val="28"/>
        </w:numPr>
        <w:rPr>
          <w:rFonts w:ascii="Arial" w:hAnsi="Arial" w:cs="Arial"/>
        </w:rPr>
      </w:pPr>
      <w:r>
        <w:rPr>
          <w:rFonts w:ascii="Arial" w:hAnsi="Arial" w:cs="Arial"/>
        </w:rPr>
        <w:t>Overview</w:t>
      </w:r>
    </w:p>
    <w:p w:rsidR="00517E77" w:rsidRDefault="00C61F6D" w:rsidP="00C61F6D">
      <w:pPr>
        <w:pStyle w:val="BodyText"/>
        <w:ind w:left="1080" w:hanging="360"/>
        <w:rPr>
          <w:rFonts w:ascii="Arial" w:hAnsi="Arial" w:cs="Arial"/>
        </w:rPr>
      </w:pPr>
      <w:r>
        <w:rPr>
          <w:rFonts w:ascii="Arial" w:hAnsi="Arial" w:cs="Arial"/>
        </w:rPr>
        <w:t>1</w:t>
      </w:r>
      <w:r w:rsidR="00406D70">
        <w:rPr>
          <w:rFonts w:ascii="Arial" w:hAnsi="Arial" w:cs="Arial"/>
        </w:rPr>
        <w:t xml:space="preserve">.   </w:t>
      </w:r>
      <w:r>
        <w:rPr>
          <w:rFonts w:ascii="Arial" w:hAnsi="Arial" w:cs="Arial"/>
        </w:rPr>
        <w:t>SGMA d</w:t>
      </w:r>
      <w:r w:rsidR="00517E77">
        <w:rPr>
          <w:rFonts w:ascii="Arial" w:hAnsi="Arial" w:cs="Arial"/>
        </w:rPr>
        <w:t>efines sustainable groundwater management to</w:t>
      </w:r>
      <w:r w:rsidR="006636CD">
        <w:rPr>
          <w:rFonts w:ascii="Arial" w:hAnsi="Arial" w:cs="Arial"/>
        </w:rPr>
        <w:t xml:space="preserve"> avoid undesirable results. </w:t>
      </w:r>
      <w:r w:rsidR="00A371B0">
        <w:rPr>
          <w:rFonts w:ascii="Arial" w:hAnsi="Arial" w:cs="Arial"/>
        </w:rPr>
        <w:t>(Wat. Code, §</w:t>
      </w:r>
      <w:r w:rsidR="00B743A2">
        <w:rPr>
          <w:rFonts w:ascii="Arial" w:hAnsi="Arial" w:cs="Arial"/>
        </w:rPr>
        <w:t xml:space="preserve"> 10721, </w:t>
      </w:r>
      <w:proofErr w:type="spellStart"/>
      <w:r w:rsidR="00B743A2">
        <w:rPr>
          <w:rFonts w:ascii="Arial" w:hAnsi="Arial" w:cs="Arial"/>
        </w:rPr>
        <w:t>subd</w:t>
      </w:r>
      <w:r w:rsidR="006636CD">
        <w:rPr>
          <w:rFonts w:ascii="Arial" w:hAnsi="Arial" w:cs="Arial"/>
        </w:rPr>
        <w:t>s</w:t>
      </w:r>
      <w:proofErr w:type="spellEnd"/>
      <w:r w:rsidR="00B743A2">
        <w:rPr>
          <w:rFonts w:ascii="Arial" w:hAnsi="Arial" w:cs="Arial"/>
        </w:rPr>
        <w:t xml:space="preserve">. </w:t>
      </w:r>
      <w:r w:rsidR="006636CD">
        <w:rPr>
          <w:rFonts w:ascii="Arial" w:hAnsi="Arial" w:cs="Arial"/>
        </w:rPr>
        <w:t xml:space="preserve">(v) &amp; </w:t>
      </w:r>
      <w:r w:rsidR="00B743A2">
        <w:rPr>
          <w:rFonts w:ascii="Arial" w:hAnsi="Arial" w:cs="Arial"/>
        </w:rPr>
        <w:t>(</w:t>
      </w:r>
      <w:r w:rsidR="006636CD">
        <w:rPr>
          <w:rFonts w:ascii="Arial" w:hAnsi="Arial" w:cs="Arial"/>
        </w:rPr>
        <w:t>x</w:t>
      </w:r>
      <w:r w:rsidR="00B743A2">
        <w:rPr>
          <w:rFonts w:ascii="Arial" w:hAnsi="Arial" w:cs="Arial"/>
        </w:rPr>
        <w:t>)</w:t>
      </w:r>
      <w:r w:rsidR="00A371B0">
        <w:rPr>
          <w:rFonts w:ascii="Arial" w:hAnsi="Arial" w:cs="Arial"/>
        </w:rPr>
        <w:t>.)</w:t>
      </w:r>
    </w:p>
    <w:p w:rsidR="00B743A2" w:rsidRDefault="00C61F6D" w:rsidP="00C61F6D">
      <w:pPr>
        <w:pStyle w:val="BodyText"/>
        <w:ind w:left="1080" w:hanging="360"/>
        <w:rPr>
          <w:rFonts w:ascii="Arial" w:hAnsi="Arial" w:cs="Arial"/>
        </w:rPr>
      </w:pPr>
      <w:r>
        <w:rPr>
          <w:rFonts w:ascii="Arial" w:hAnsi="Arial" w:cs="Arial"/>
        </w:rPr>
        <w:t>2</w:t>
      </w:r>
      <w:r w:rsidR="00517E77">
        <w:rPr>
          <w:rFonts w:ascii="Arial" w:hAnsi="Arial" w:cs="Arial"/>
        </w:rPr>
        <w:t xml:space="preserve">.   </w:t>
      </w:r>
      <w:r w:rsidR="00A371B0">
        <w:rPr>
          <w:rFonts w:ascii="Arial" w:hAnsi="Arial" w:cs="Arial"/>
        </w:rPr>
        <w:t>Local agencies may elect to become groundwater sustainability agencies.  (</w:t>
      </w:r>
      <w:r w:rsidR="00B743A2">
        <w:rPr>
          <w:rFonts w:ascii="Arial" w:hAnsi="Arial" w:cs="Arial"/>
        </w:rPr>
        <w:t>Wat. Code, § 10723 et seq.)</w:t>
      </w:r>
    </w:p>
    <w:p w:rsidR="00A371B0" w:rsidRDefault="00C61F6D" w:rsidP="00C61F6D">
      <w:pPr>
        <w:pStyle w:val="BodyText"/>
        <w:ind w:left="1080" w:hanging="360"/>
        <w:rPr>
          <w:rFonts w:ascii="Arial" w:hAnsi="Arial" w:cs="Arial"/>
        </w:rPr>
      </w:pPr>
      <w:r>
        <w:rPr>
          <w:rFonts w:ascii="Arial" w:hAnsi="Arial" w:cs="Arial"/>
        </w:rPr>
        <w:t>3</w:t>
      </w:r>
      <w:r w:rsidR="00B743A2">
        <w:rPr>
          <w:rFonts w:ascii="Arial" w:hAnsi="Arial" w:cs="Arial"/>
        </w:rPr>
        <w:t xml:space="preserve">.  </w:t>
      </w:r>
      <w:r>
        <w:rPr>
          <w:rFonts w:ascii="Arial" w:hAnsi="Arial" w:cs="Arial"/>
        </w:rPr>
        <w:t>SGMA p</w:t>
      </w:r>
      <w:r w:rsidR="00406D70">
        <w:rPr>
          <w:rFonts w:ascii="Arial" w:hAnsi="Arial" w:cs="Arial"/>
        </w:rPr>
        <w:t xml:space="preserve">rovides local authority to </w:t>
      </w:r>
      <w:r w:rsidR="00CD415B">
        <w:rPr>
          <w:rFonts w:ascii="Arial" w:hAnsi="Arial" w:cs="Arial"/>
        </w:rPr>
        <w:t>adopt</w:t>
      </w:r>
      <w:r w:rsidR="00406D70">
        <w:rPr>
          <w:rFonts w:ascii="Arial" w:hAnsi="Arial" w:cs="Arial"/>
        </w:rPr>
        <w:t xml:space="preserve"> and enforce groundwater sustainability plan</w:t>
      </w:r>
      <w:r w:rsidR="00A371B0">
        <w:rPr>
          <w:rFonts w:ascii="Arial" w:hAnsi="Arial" w:cs="Arial"/>
        </w:rPr>
        <w:t>, including reporting and limits on extraction.</w:t>
      </w:r>
      <w:r w:rsidR="00CD415B">
        <w:rPr>
          <w:rFonts w:ascii="Arial" w:hAnsi="Arial" w:cs="Arial"/>
        </w:rPr>
        <w:t xml:space="preserve"> (Wat. Code, §§ 10275 et seq., 10728 et seq.,</w:t>
      </w:r>
      <w:r w:rsidR="00E74875">
        <w:rPr>
          <w:rFonts w:ascii="Arial" w:hAnsi="Arial" w:cs="Arial"/>
        </w:rPr>
        <w:t xml:space="preserve"> 10732 et seq.</w:t>
      </w:r>
      <w:r w:rsidR="00CD415B">
        <w:rPr>
          <w:rFonts w:ascii="Arial" w:hAnsi="Arial" w:cs="Arial"/>
        </w:rPr>
        <w:t>.)</w:t>
      </w:r>
    </w:p>
    <w:p w:rsidR="00406D70" w:rsidRDefault="00C61F6D" w:rsidP="00C61F6D">
      <w:pPr>
        <w:pStyle w:val="BodyText"/>
        <w:ind w:left="1080" w:hanging="360"/>
        <w:rPr>
          <w:rFonts w:ascii="Arial" w:hAnsi="Arial" w:cs="Arial"/>
        </w:rPr>
      </w:pPr>
      <w:r>
        <w:rPr>
          <w:rFonts w:ascii="Arial" w:hAnsi="Arial" w:cs="Arial"/>
        </w:rPr>
        <w:t>4</w:t>
      </w:r>
      <w:r w:rsidR="00A371B0">
        <w:rPr>
          <w:rFonts w:ascii="Arial" w:hAnsi="Arial" w:cs="Arial"/>
        </w:rPr>
        <w:t xml:space="preserve">.  </w:t>
      </w:r>
      <w:r>
        <w:rPr>
          <w:rFonts w:ascii="Arial" w:hAnsi="Arial" w:cs="Arial"/>
        </w:rPr>
        <w:t>SGMA p</w:t>
      </w:r>
      <w:r w:rsidR="00A371B0">
        <w:rPr>
          <w:rFonts w:ascii="Arial" w:hAnsi="Arial" w:cs="Arial"/>
        </w:rPr>
        <w:t>rovides groundwater sustainability agencies with authority to impose fees.  The local agency may impose regulatory fees.  (Wat. Code, §</w:t>
      </w:r>
      <w:r w:rsidR="0046727B">
        <w:rPr>
          <w:rFonts w:ascii="Arial" w:hAnsi="Arial" w:cs="Arial"/>
        </w:rPr>
        <w:t xml:space="preserve"> 10730, see generally</w:t>
      </w:r>
      <w:r w:rsidR="006B3167">
        <w:rPr>
          <w:rFonts w:ascii="Arial" w:hAnsi="Arial" w:cs="Arial"/>
        </w:rPr>
        <w:t xml:space="preserve"> </w:t>
      </w:r>
      <w:r w:rsidR="006B3167" w:rsidRPr="006B3167">
        <w:rPr>
          <w:rFonts w:ascii="Arial" w:hAnsi="Arial" w:cs="Arial"/>
          <w:i/>
        </w:rPr>
        <w:t>California Farm Bureau Federation v. State Water Resources Control Bd.</w:t>
      </w:r>
      <w:r w:rsidR="006B3167" w:rsidRPr="006B3167">
        <w:rPr>
          <w:rFonts w:ascii="Arial" w:hAnsi="Arial" w:cs="Arial"/>
        </w:rPr>
        <w:t xml:space="preserve"> (2011) 51 Cal.4th 421, 438</w:t>
      </w:r>
      <w:r w:rsidR="006B3167">
        <w:rPr>
          <w:rFonts w:ascii="Arial" w:hAnsi="Arial" w:cs="Arial"/>
        </w:rPr>
        <w:t xml:space="preserve"> [discussing regulatory fees].</w:t>
      </w:r>
      <w:r w:rsidR="0046727B">
        <w:rPr>
          <w:rFonts w:ascii="Arial" w:hAnsi="Arial" w:cs="Arial"/>
        </w:rPr>
        <w:t>)  A groundwater sustainability agency may also impose extraction fees a</w:t>
      </w:r>
      <w:r w:rsidR="009A4B52">
        <w:rPr>
          <w:rFonts w:ascii="Arial" w:hAnsi="Arial" w:cs="Arial"/>
        </w:rPr>
        <w:t>s</w:t>
      </w:r>
      <w:r w:rsidR="0046727B">
        <w:rPr>
          <w:rFonts w:ascii="Arial" w:hAnsi="Arial" w:cs="Arial"/>
        </w:rPr>
        <w:t xml:space="preserve"> property related fees for water service.  (</w:t>
      </w:r>
      <w:r w:rsidR="002702AC">
        <w:rPr>
          <w:rFonts w:ascii="Arial" w:hAnsi="Arial" w:cs="Arial"/>
        </w:rPr>
        <w:t>§ 10730.2; see generally</w:t>
      </w:r>
      <w:r w:rsidR="006B3167">
        <w:rPr>
          <w:rFonts w:ascii="Arial" w:hAnsi="Arial" w:cs="Arial"/>
        </w:rPr>
        <w:t xml:space="preserve"> </w:t>
      </w:r>
      <w:r w:rsidR="006B3167" w:rsidRPr="006B3167">
        <w:rPr>
          <w:rFonts w:ascii="Arial" w:hAnsi="Arial" w:cs="Arial"/>
          <w:i/>
        </w:rPr>
        <w:t xml:space="preserve">Griffith v. </w:t>
      </w:r>
      <w:proofErr w:type="spellStart"/>
      <w:r w:rsidR="006B3167" w:rsidRPr="006B3167">
        <w:rPr>
          <w:rFonts w:ascii="Arial" w:hAnsi="Arial" w:cs="Arial"/>
          <w:i/>
        </w:rPr>
        <w:t>Pajaro</w:t>
      </w:r>
      <w:proofErr w:type="spellEnd"/>
      <w:r w:rsidR="006B3167" w:rsidRPr="006B3167">
        <w:rPr>
          <w:rFonts w:ascii="Arial" w:hAnsi="Arial" w:cs="Arial"/>
          <w:i/>
        </w:rPr>
        <w:t xml:space="preserve"> Valley Water Management Agency</w:t>
      </w:r>
      <w:r w:rsidR="006B3167" w:rsidRPr="006B3167">
        <w:rPr>
          <w:rFonts w:ascii="Arial" w:hAnsi="Arial" w:cs="Arial"/>
        </w:rPr>
        <w:t xml:space="preserve"> (2013) 220 Cal.App.4th 586, 594-96</w:t>
      </w:r>
      <w:r w:rsidR="006B3167">
        <w:rPr>
          <w:rFonts w:ascii="Arial" w:hAnsi="Arial" w:cs="Arial"/>
        </w:rPr>
        <w:t xml:space="preserve"> [upholding groundwater extraction charge as</w:t>
      </w:r>
      <w:r w:rsidR="005C4FB9">
        <w:rPr>
          <w:rFonts w:ascii="Arial" w:hAnsi="Arial" w:cs="Arial"/>
        </w:rPr>
        <w:t xml:space="preserve"> a water service charge within the meaning of Proposition 218, which may be imposed without a vote of property owners or the electorate].)</w:t>
      </w:r>
    </w:p>
    <w:p w:rsidR="00406D70" w:rsidRDefault="00C61F6D" w:rsidP="00C61F6D">
      <w:pPr>
        <w:pStyle w:val="BodyText"/>
        <w:ind w:left="1080" w:hanging="360"/>
        <w:rPr>
          <w:rFonts w:ascii="Arial" w:hAnsi="Arial" w:cs="Arial"/>
        </w:rPr>
      </w:pPr>
      <w:r>
        <w:rPr>
          <w:rFonts w:ascii="Arial" w:hAnsi="Arial" w:cs="Arial"/>
        </w:rPr>
        <w:t>5</w:t>
      </w:r>
      <w:r w:rsidR="00406D70">
        <w:rPr>
          <w:rFonts w:ascii="Arial" w:hAnsi="Arial" w:cs="Arial"/>
        </w:rPr>
        <w:t>.  The Department of Water Resources</w:t>
      </w:r>
      <w:r w:rsidR="001C4F91">
        <w:rPr>
          <w:rFonts w:ascii="Arial" w:hAnsi="Arial" w:cs="Arial"/>
        </w:rPr>
        <w:t xml:space="preserve"> (DWR)</w:t>
      </w:r>
      <w:r w:rsidR="00406D70">
        <w:rPr>
          <w:rFonts w:ascii="Arial" w:hAnsi="Arial" w:cs="Arial"/>
        </w:rPr>
        <w:t xml:space="preserve"> will provide technical assistance and review of plan adequacy.</w:t>
      </w:r>
      <w:r w:rsidR="00F20323">
        <w:rPr>
          <w:rFonts w:ascii="Arial" w:hAnsi="Arial" w:cs="Arial"/>
        </w:rPr>
        <w:t xml:space="preserve"> (Wat. Code, §§ 10729 et seq.,</w:t>
      </w:r>
      <w:r w:rsidR="005C4FB9">
        <w:rPr>
          <w:rFonts w:ascii="Arial" w:hAnsi="Arial" w:cs="Arial"/>
        </w:rPr>
        <w:t xml:space="preserve"> 10733 et seq.</w:t>
      </w:r>
      <w:r w:rsidR="00E74875">
        <w:rPr>
          <w:rFonts w:ascii="Arial" w:hAnsi="Arial" w:cs="Arial"/>
        </w:rPr>
        <w:t xml:space="preserve">, 10735.2, </w:t>
      </w:r>
      <w:proofErr w:type="spellStart"/>
      <w:r w:rsidR="00E74875">
        <w:rPr>
          <w:rFonts w:ascii="Arial" w:hAnsi="Arial" w:cs="Arial"/>
        </w:rPr>
        <w:t>subds</w:t>
      </w:r>
      <w:proofErr w:type="spellEnd"/>
      <w:r w:rsidR="00E74875">
        <w:rPr>
          <w:rFonts w:ascii="Arial" w:hAnsi="Arial" w:cs="Arial"/>
        </w:rPr>
        <w:t>. (a)(3) &amp; (a)(5)(A)</w:t>
      </w:r>
      <w:r w:rsidR="0046727B">
        <w:rPr>
          <w:rFonts w:ascii="Arial" w:hAnsi="Arial" w:cs="Arial"/>
        </w:rPr>
        <w:t>.)</w:t>
      </w:r>
    </w:p>
    <w:p w:rsidR="00AF4D89" w:rsidRPr="00AF4D89" w:rsidRDefault="00C61F6D" w:rsidP="00C61F6D">
      <w:pPr>
        <w:pStyle w:val="BodyText"/>
        <w:ind w:left="1080" w:hanging="360"/>
        <w:rPr>
          <w:rFonts w:ascii="Arial" w:hAnsi="Arial" w:cs="Arial"/>
        </w:rPr>
      </w:pPr>
      <w:r>
        <w:rPr>
          <w:rFonts w:ascii="Arial" w:hAnsi="Arial" w:cs="Arial"/>
        </w:rPr>
        <w:t>6</w:t>
      </w:r>
      <w:r w:rsidR="00406D70">
        <w:rPr>
          <w:rFonts w:ascii="Arial" w:hAnsi="Arial" w:cs="Arial"/>
        </w:rPr>
        <w:t xml:space="preserve">.  </w:t>
      </w:r>
      <w:r w:rsidR="00AF4D89">
        <w:rPr>
          <w:rFonts w:ascii="Arial" w:hAnsi="Arial" w:cs="Arial"/>
        </w:rPr>
        <w:t>DWR is required to adopt regulations for evaluating groundwater sustainability plans, necessary plan elements, and requirements for implementation. (</w:t>
      </w:r>
      <w:r w:rsidR="00AF4D89">
        <w:rPr>
          <w:rFonts w:ascii="Arial" w:hAnsi="Arial" w:cs="Arial"/>
          <w:i/>
        </w:rPr>
        <w:t>Id.</w:t>
      </w:r>
      <w:r w:rsidR="00AF4D89">
        <w:rPr>
          <w:rFonts w:ascii="Arial" w:hAnsi="Arial" w:cs="Arial"/>
        </w:rPr>
        <w:t xml:space="preserve">, § 10733.2; </w:t>
      </w:r>
      <w:r w:rsidR="006E2D07">
        <w:rPr>
          <w:rFonts w:ascii="Arial" w:hAnsi="Arial" w:cs="Arial"/>
        </w:rPr>
        <w:t>see also Cal. Code Regs., tit. 23, § 350 et seq. (SGMA regulations.)</w:t>
      </w:r>
    </w:p>
    <w:p w:rsidR="00F7194E" w:rsidRDefault="00AF4D89" w:rsidP="00C61F6D">
      <w:pPr>
        <w:pStyle w:val="BodyText"/>
        <w:ind w:left="1080" w:hanging="360"/>
        <w:rPr>
          <w:rFonts w:ascii="Arial" w:hAnsi="Arial" w:cs="Arial"/>
        </w:rPr>
      </w:pPr>
      <w:r>
        <w:rPr>
          <w:rFonts w:ascii="Arial" w:hAnsi="Arial" w:cs="Arial"/>
        </w:rPr>
        <w:t>7.</w:t>
      </w:r>
      <w:r>
        <w:rPr>
          <w:rFonts w:ascii="Arial" w:hAnsi="Arial" w:cs="Arial"/>
        </w:rPr>
        <w:tab/>
      </w:r>
      <w:r w:rsidR="00406D70">
        <w:rPr>
          <w:rFonts w:ascii="Arial" w:hAnsi="Arial" w:cs="Arial"/>
        </w:rPr>
        <w:t>The State Water Board has authority to designate basins a</w:t>
      </w:r>
      <w:r w:rsidR="00D13BB2">
        <w:rPr>
          <w:rFonts w:ascii="Arial" w:hAnsi="Arial" w:cs="Arial"/>
        </w:rPr>
        <w:t>s</w:t>
      </w:r>
      <w:r w:rsidR="00406D70">
        <w:rPr>
          <w:rFonts w:ascii="Arial" w:hAnsi="Arial" w:cs="Arial"/>
        </w:rPr>
        <w:t xml:space="preserve"> probationary where no local agency elects to </w:t>
      </w:r>
      <w:r w:rsidR="009A4B52">
        <w:rPr>
          <w:rFonts w:ascii="Arial" w:hAnsi="Arial" w:cs="Arial"/>
        </w:rPr>
        <w:t xml:space="preserve">be the groundwater sustainability agency, </w:t>
      </w:r>
      <w:r w:rsidR="00406D70">
        <w:rPr>
          <w:rFonts w:ascii="Arial" w:hAnsi="Arial" w:cs="Arial"/>
        </w:rPr>
        <w:t>where the local agency fails to adopt a groundwater sustainability plan, or where</w:t>
      </w:r>
      <w:r w:rsidR="009A4B52">
        <w:rPr>
          <w:rFonts w:ascii="Arial" w:hAnsi="Arial" w:cs="Arial"/>
        </w:rPr>
        <w:t xml:space="preserve"> DWR </w:t>
      </w:r>
      <w:r w:rsidR="00406D70">
        <w:rPr>
          <w:rFonts w:ascii="Arial" w:hAnsi="Arial" w:cs="Arial"/>
        </w:rPr>
        <w:t xml:space="preserve">determines that the plan or plan implementation is inadequate.  </w:t>
      </w:r>
      <w:r w:rsidR="00E74875">
        <w:rPr>
          <w:rFonts w:ascii="Arial" w:hAnsi="Arial" w:cs="Arial"/>
        </w:rPr>
        <w:t xml:space="preserve">(Wat. Code, § 10735.2.)  </w:t>
      </w:r>
      <w:r w:rsidR="00406D70">
        <w:rPr>
          <w:rFonts w:ascii="Arial" w:hAnsi="Arial" w:cs="Arial"/>
        </w:rPr>
        <w:t>If local agencies do not correct the deficiency, the State Water Board may adopt and implement a</w:t>
      </w:r>
      <w:r w:rsidR="00F7194E">
        <w:rPr>
          <w:rFonts w:ascii="Arial" w:hAnsi="Arial" w:cs="Arial"/>
        </w:rPr>
        <w:t>n interim plan</w:t>
      </w:r>
      <w:r w:rsidR="00406D70">
        <w:rPr>
          <w:rFonts w:ascii="Arial" w:hAnsi="Arial" w:cs="Arial"/>
        </w:rPr>
        <w:t>.</w:t>
      </w:r>
      <w:r w:rsidR="00E74875">
        <w:rPr>
          <w:rFonts w:ascii="Arial" w:hAnsi="Arial" w:cs="Arial"/>
        </w:rPr>
        <w:t xml:space="preserve"> (Wat. Code, §§ 10735.</w:t>
      </w:r>
      <w:r w:rsidR="005378DA">
        <w:rPr>
          <w:rFonts w:ascii="Arial" w:hAnsi="Arial" w:cs="Arial"/>
        </w:rPr>
        <w:t>4</w:t>
      </w:r>
      <w:r w:rsidR="00E74875">
        <w:rPr>
          <w:rFonts w:ascii="Arial" w:hAnsi="Arial" w:cs="Arial"/>
        </w:rPr>
        <w:t>, 10735.</w:t>
      </w:r>
      <w:r w:rsidR="005378DA">
        <w:rPr>
          <w:rFonts w:ascii="Arial" w:hAnsi="Arial" w:cs="Arial"/>
        </w:rPr>
        <w:t>6</w:t>
      </w:r>
      <w:r w:rsidR="00E74875">
        <w:rPr>
          <w:rFonts w:ascii="Arial" w:hAnsi="Arial" w:cs="Arial"/>
        </w:rPr>
        <w:t>,</w:t>
      </w:r>
      <w:r w:rsidR="005378DA">
        <w:rPr>
          <w:rFonts w:ascii="Arial" w:hAnsi="Arial" w:cs="Arial"/>
        </w:rPr>
        <w:t xml:space="preserve"> 10735.8</w:t>
      </w:r>
      <w:r w:rsidR="00E74875">
        <w:rPr>
          <w:rFonts w:ascii="Arial" w:hAnsi="Arial" w:cs="Arial"/>
        </w:rPr>
        <w:t>.)</w:t>
      </w:r>
    </w:p>
    <w:p w:rsidR="00F7194E" w:rsidRDefault="00F7194E" w:rsidP="00F7194E">
      <w:pPr>
        <w:pStyle w:val="BodyText"/>
        <w:ind w:left="1440" w:hanging="360"/>
        <w:rPr>
          <w:rFonts w:ascii="Arial" w:hAnsi="Arial" w:cs="Arial"/>
        </w:rPr>
      </w:pPr>
      <w:r>
        <w:rPr>
          <w:rFonts w:ascii="Arial" w:hAnsi="Arial" w:cs="Arial"/>
        </w:rPr>
        <w:t xml:space="preserve">a. </w:t>
      </w:r>
      <w:r w:rsidR="00B00E55">
        <w:rPr>
          <w:rFonts w:ascii="Arial" w:hAnsi="Arial" w:cs="Arial"/>
        </w:rPr>
        <w:t xml:space="preserve">  </w:t>
      </w:r>
      <w:r>
        <w:rPr>
          <w:rFonts w:ascii="Arial" w:hAnsi="Arial" w:cs="Arial"/>
        </w:rPr>
        <w:t xml:space="preserve">An interim plan </w:t>
      </w:r>
      <w:r w:rsidR="00B00E55">
        <w:rPr>
          <w:rFonts w:ascii="Arial" w:hAnsi="Arial" w:cs="Arial"/>
        </w:rPr>
        <w:t>includes actions to correct a condition of long-term overdraft or a condition where groundwater extractions result in significant depletions of interconnected surface waters. (Wat. Code, § 10735.8, subd. (b)(1).) An interim plan may include restrictions on extraction or a physical solution. (</w:t>
      </w:r>
      <w:r w:rsidR="00B00E55">
        <w:rPr>
          <w:rFonts w:ascii="Arial" w:hAnsi="Arial" w:cs="Arial"/>
          <w:i/>
        </w:rPr>
        <w:t>Id.</w:t>
      </w:r>
      <w:r w:rsidR="00B00E55">
        <w:rPr>
          <w:rFonts w:ascii="Arial" w:hAnsi="Arial" w:cs="Arial"/>
        </w:rPr>
        <w:t>, subd. (c).)</w:t>
      </w:r>
    </w:p>
    <w:p w:rsidR="00517E77" w:rsidRDefault="00B00E55" w:rsidP="005F0CBB">
      <w:pPr>
        <w:pStyle w:val="BodyText"/>
        <w:ind w:left="1440" w:hanging="360"/>
        <w:rPr>
          <w:rFonts w:ascii="Arial" w:hAnsi="Arial" w:cs="Arial"/>
        </w:rPr>
      </w:pPr>
      <w:r>
        <w:rPr>
          <w:rFonts w:ascii="Arial" w:hAnsi="Arial" w:cs="Arial"/>
        </w:rPr>
        <w:t>b.</w:t>
      </w:r>
      <w:r>
        <w:rPr>
          <w:rFonts w:ascii="Arial" w:hAnsi="Arial" w:cs="Arial"/>
        </w:rPr>
        <w:tab/>
        <w:t>Except where the interim plan incorporates elements of a local agency’s groundwater sustainability plan or an adjudication, or as necessary to prevent waste an unreasonable use, the interim plan must be consistent with water right priorities.</w:t>
      </w:r>
    </w:p>
    <w:p w:rsidR="00FF225B" w:rsidRDefault="006E2D07" w:rsidP="00C61F6D">
      <w:pPr>
        <w:pStyle w:val="BodyText"/>
        <w:ind w:left="1080" w:hanging="360"/>
        <w:rPr>
          <w:rFonts w:ascii="Arial" w:hAnsi="Arial" w:cs="Arial"/>
        </w:rPr>
      </w:pPr>
      <w:r>
        <w:rPr>
          <w:rFonts w:ascii="Arial" w:hAnsi="Arial" w:cs="Arial"/>
        </w:rPr>
        <w:t>8</w:t>
      </w:r>
      <w:r w:rsidR="00FF225B">
        <w:rPr>
          <w:rFonts w:ascii="Arial" w:hAnsi="Arial" w:cs="Arial"/>
        </w:rPr>
        <w:t xml:space="preserve">. </w:t>
      </w:r>
      <w:r w:rsidR="00C61F6D">
        <w:rPr>
          <w:rFonts w:ascii="Arial" w:hAnsi="Arial" w:cs="Arial"/>
        </w:rPr>
        <w:t xml:space="preserve"> </w:t>
      </w:r>
      <w:r w:rsidR="00056622">
        <w:rPr>
          <w:rFonts w:ascii="Arial" w:hAnsi="Arial" w:cs="Arial"/>
        </w:rPr>
        <w:t>Deadlines under S</w:t>
      </w:r>
      <w:r w:rsidR="00C61F6D">
        <w:rPr>
          <w:rFonts w:ascii="Arial" w:hAnsi="Arial" w:cs="Arial"/>
        </w:rPr>
        <w:t>GMA</w:t>
      </w:r>
      <w:r w:rsidR="00FF225B">
        <w:rPr>
          <w:rFonts w:ascii="Arial" w:hAnsi="Arial" w:cs="Arial"/>
        </w:rPr>
        <w:t>.</w:t>
      </w:r>
      <w:r w:rsidR="00056622">
        <w:rPr>
          <w:rFonts w:ascii="Arial" w:hAnsi="Arial" w:cs="Arial"/>
        </w:rPr>
        <w:t xml:space="preserve">  (But see Wat. Code §§ </w:t>
      </w:r>
      <w:r w:rsidR="001F17CD">
        <w:rPr>
          <w:rFonts w:ascii="Arial" w:hAnsi="Arial" w:cs="Arial"/>
        </w:rPr>
        <w:t xml:space="preserve">10727.2, subd. (a)(3), </w:t>
      </w:r>
      <w:r w:rsidR="00056622">
        <w:rPr>
          <w:rFonts w:ascii="Arial" w:hAnsi="Arial" w:cs="Arial"/>
        </w:rPr>
        <w:t xml:space="preserve">10735.2, subd. (d), </w:t>
      </w:r>
      <w:r w:rsidR="001F17CD">
        <w:rPr>
          <w:rFonts w:ascii="Arial" w:hAnsi="Arial" w:cs="Arial"/>
        </w:rPr>
        <w:t>10735.4</w:t>
      </w:r>
      <w:r w:rsidR="00056622">
        <w:rPr>
          <w:rFonts w:ascii="Arial" w:hAnsi="Arial" w:cs="Arial"/>
        </w:rPr>
        <w:t xml:space="preserve"> [providing for extensions of some of the deadlines for local agencies].)</w:t>
      </w:r>
    </w:p>
    <w:p w:rsidR="008F067B" w:rsidRDefault="008F067B" w:rsidP="00406D70">
      <w:pPr>
        <w:pStyle w:val="BodyText"/>
        <w:ind w:left="1800" w:hanging="360"/>
        <w:rPr>
          <w:rFonts w:ascii="Arial" w:hAnsi="Arial" w:cs="Arial"/>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088"/>
        <w:gridCol w:w="6678"/>
      </w:tblGrid>
      <w:tr w:rsidR="006E16A7" w:rsidTr="0055552C">
        <w:tc>
          <w:tcPr>
            <w:tcW w:w="2088" w:type="dxa"/>
            <w:shd w:val="clear" w:color="auto" w:fill="auto"/>
          </w:tcPr>
          <w:p w:rsidR="006E16A7" w:rsidRPr="00E62436" w:rsidRDefault="006E29B8" w:rsidP="0012439D">
            <w:pPr>
              <w:pStyle w:val="BodyText"/>
              <w:rPr>
                <w:rFonts w:ascii="Arial" w:hAnsi="Arial" w:cs="Arial"/>
              </w:rPr>
            </w:pPr>
            <w:r w:rsidRPr="00E62436">
              <w:rPr>
                <w:rFonts w:ascii="Arial" w:hAnsi="Arial" w:cs="Arial"/>
              </w:rPr>
              <w:t>January 31, 2015</w:t>
            </w:r>
          </w:p>
        </w:tc>
        <w:tc>
          <w:tcPr>
            <w:tcW w:w="6678" w:type="dxa"/>
            <w:shd w:val="clear" w:color="auto" w:fill="auto"/>
          </w:tcPr>
          <w:p w:rsidR="006E16A7" w:rsidRPr="00E62436" w:rsidRDefault="006E29B8" w:rsidP="0012439D">
            <w:pPr>
              <w:pStyle w:val="BodyText"/>
              <w:rPr>
                <w:rFonts w:ascii="Arial" w:hAnsi="Arial" w:cs="Arial"/>
              </w:rPr>
            </w:pPr>
            <w:r w:rsidRPr="00E62436">
              <w:rPr>
                <w:rFonts w:ascii="Arial" w:hAnsi="Arial" w:cs="Arial"/>
              </w:rPr>
              <w:t>DWR sets initial priority for groundwater basins</w:t>
            </w:r>
            <w:r w:rsidR="0012439D" w:rsidRPr="00E62436">
              <w:rPr>
                <w:rFonts w:ascii="Arial" w:hAnsi="Arial" w:cs="Arial"/>
              </w:rPr>
              <w:t xml:space="preserve"> (§ 10722.4)</w:t>
            </w:r>
          </w:p>
        </w:tc>
      </w:tr>
      <w:tr w:rsidR="006E16A7" w:rsidTr="0055552C">
        <w:tc>
          <w:tcPr>
            <w:tcW w:w="2088" w:type="dxa"/>
            <w:shd w:val="clear" w:color="auto" w:fill="auto"/>
          </w:tcPr>
          <w:p w:rsidR="006E16A7" w:rsidRPr="00E62436" w:rsidRDefault="0012439D" w:rsidP="0012439D">
            <w:pPr>
              <w:pStyle w:val="BodyText"/>
              <w:rPr>
                <w:rFonts w:ascii="Arial" w:hAnsi="Arial" w:cs="Arial"/>
              </w:rPr>
            </w:pPr>
            <w:r w:rsidRPr="00E62436">
              <w:rPr>
                <w:rFonts w:ascii="Arial" w:hAnsi="Arial" w:cs="Arial"/>
              </w:rPr>
              <w:t>January 1, 2016</w:t>
            </w:r>
          </w:p>
        </w:tc>
        <w:tc>
          <w:tcPr>
            <w:tcW w:w="6678" w:type="dxa"/>
            <w:shd w:val="clear" w:color="auto" w:fill="auto"/>
          </w:tcPr>
          <w:p w:rsidR="006E16A7" w:rsidRPr="00E62436" w:rsidRDefault="0012439D" w:rsidP="0012439D">
            <w:pPr>
              <w:pStyle w:val="BodyText"/>
              <w:rPr>
                <w:rFonts w:ascii="Arial" w:hAnsi="Arial" w:cs="Arial"/>
              </w:rPr>
            </w:pPr>
            <w:r w:rsidRPr="00E62436">
              <w:rPr>
                <w:rFonts w:ascii="Arial" w:hAnsi="Arial" w:cs="Arial"/>
              </w:rPr>
              <w:t>DWR adopts regulations on criteria for modifying groundwater basin boundaries. (§ 10722.2, subd. (b).)</w:t>
            </w:r>
          </w:p>
        </w:tc>
      </w:tr>
      <w:tr w:rsidR="006E16A7" w:rsidTr="0055552C">
        <w:tc>
          <w:tcPr>
            <w:tcW w:w="2088" w:type="dxa"/>
            <w:shd w:val="clear" w:color="auto" w:fill="auto"/>
          </w:tcPr>
          <w:p w:rsidR="006E16A7" w:rsidRPr="00E62436" w:rsidRDefault="0012439D" w:rsidP="0012439D">
            <w:pPr>
              <w:pStyle w:val="BodyText"/>
              <w:rPr>
                <w:rFonts w:ascii="Arial" w:hAnsi="Arial" w:cs="Arial"/>
              </w:rPr>
            </w:pPr>
            <w:r w:rsidRPr="00E62436">
              <w:rPr>
                <w:rFonts w:ascii="Arial" w:hAnsi="Arial" w:cs="Arial"/>
              </w:rPr>
              <w:t>April 1, 2016</w:t>
            </w:r>
          </w:p>
        </w:tc>
        <w:tc>
          <w:tcPr>
            <w:tcW w:w="6678" w:type="dxa"/>
            <w:shd w:val="clear" w:color="auto" w:fill="auto"/>
          </w:tcPr>
          <w:p w:rsidR="006E16A7" w:rsidRPr="00E62436" w:rsidRDefault="0012439D" w:rsidP="0012439D">
            <w:pPr>
              <w:pStyle w:val="BodyText"/>
              <w:rPr>
                <w:rFonts w:ascii="Arial" w:hAnsi="Arial" w:cs="Arial"/>
              </w:rPr>
            </w:pPr>
            <w:r w:rsidRPr="00E62436">
              <w:rPr>
                <w:rFonts w:ascii="Arial" w:hAnsi="Arial" w:cs="Arial"/>
              </w:rPr>
              <w:t>First reports due from exempt adjudicated basins (§ 10720.8, sub</w:t>
            </w:r>
            <w:r w:rsidR="009A4B52">
              <w:rPr>
                <w:rFonts w:ascii="Arial" w:hAnsi="Arial" w:cs="Arial"/>
              </w:rPr>
              <w:t>d</w:t>
            </w:r>
            <w:r w:rsidRPr="00E62436">
              <w:rPr>
                <w:rFonts w:ascii="Arial" w:hAnsi="Arial" w:cs="Arial"/>
              </w:rPr>
              <w:t>. (f).)</w:t>
            </w:r>
          </w:p>
        </w:tc>
      </w:tr>
      <w:tr w:rsidR="006E16A7" w:rsidTr="0055552C">
        <w:tc>
          <w:tcPr>
            <w:tcW w:w="2088" w:type="dxa"/>
            <w:shd w:val="clear" w:color="auto" w:fill="auto"/>
          </w:tcPr>
          <w:p w:rsidR="006E16A7" w:rsidRPr="00E62436" w:rsidRDefault="0012439D" w:rsidP="0012439D">
            <w:pPr>
              <w:pStyle w:val="BodyText"/>
              <w:rPr>
                <w:rFonts w:ascii="Arial" w:hAnsi="Arial" w:cs="Arial"/>
              </w:rPr>
            </w:pPr>
            <w:r w:rsidRPr="00E62436">
              <w:rPr>
                <w:rFonts w:ascii="Arial" w:hAnsi="Arial" w:cs="Arial"/>
              </w:rPr>
              <w:t>June 1, 2016</w:t>
            </w:r>
          </w:p>
        </w:tc>
        <w:tc>
          <w:tcPr>
            <w:tcW w:w="6678" w:type="dxa"/>
            <w:shd w:val="clear" w:color="auto" w:fill="auto"/>
          </w:tcPr>
          <w:p w:rsidR="006E16A7" w:rsidRPr="00E62436" w:rsidRDefault="0012439D" w:rsidP="0012439D">
            <w:pPr>
              <w:pStyle w:val="BodyText"/>
              <w:rPr>
                <w:rFonts w:ascii="Arial" w:hAnsi="Arial" w:cs="Arial"/>
              </w:rPr>
            </w:pPr>
            <w:r w:rsidRPr="00E62436">
              <w:rPr>
                <w:rFonts w:ascii="Arial" w:hAnsi="Arial" w:cs="Arial"/>
              </w:rPr>
              <w:t>DWR adopts regulations for evaluating groundwater sustainability plans and alternatives</w:t>
            </w:r>
            <w:r w:rsidR="0055552C">
              <w:rPr>
                <w:rFonts w:ascii="Arial" w:hAnsi="Arial" w:cs="Arial"/>
              </w:rPr>
              <w:t>, for the implementation of groundwater sustainability plans, and for coordination agreements</w:t>
            </w:r>
            <w:r w:rsidRPr="00E62436">
              <w:rPr>
                <w:rFonts w:ascii="Arial" w:hAnsi="Arial" w:cs="Arial"/>
              </w:rPr>
              <w:t>.</w:t>
            </w:r>
            <w:r w:rsidR="00056622" w:rsidRPr="00E62436">
              <w:rPr>
                <w:rFonts w:ascii="Arial" w:hAnsi="Arial" w:cs="Arial"/>
              </w:rPr>
              <w:t xml:space="preserve"> (§ 10733.2.)</w:t>
            </w:r>
          </w:p>
        </w:tc>
      </w:tr>
      <w:tr w:rsidR="006E16A7" w:rsidTr="0055552C">
        <w:tc>
          <w:tcPr>
            <w:tcW w:w="2088" w:type="dxa"/>
            <w:shd w:val="clear" w:color="auto" w:fill="auto"/>
          </w:tcPr>
          <w:p w:rsidR="006E16A7" w:rsidRPr="00E62436" w:rsidRDefault="00056622" w:rsidP="0012439D">
            <w:pPr>
              <w:pStyle w:val="BodyText"/>
              <w:rPr>
                <w:rFonts w:ascii="Arial" w:hAnsi="Arial" w:cs="Arial"/>
              </w:rPr>
            </w:pPr>
            <w:r w:rsidRPr="00E62436">
              <w:rPr>
                <w:rFonts w:ascii="Arial" w:hAnsi="Arial" w:cs="Arial"/>
              </w:rPr>
              <w:t>January 1, 2017</w:t>
            </w:r>
          </w:p>
        </w:tc>
        <w:tc>
          <w:tcPr>
            <w:tcW w:w="6678" w:type="dxa"/>
            <w:shd w:val="clear" w:color="auto" w:fill="auto"/>
          </w:tcPr>
          <w:p w:rsidR="006E16A7" w:rsidRPr="00E62436" w:rsidRDefault="00056622" w:rsidP="009D373F">
            <w:pPr>
              <w:pStyle w:val="BodyText"/>
              <w:rPr>
                <w:rFonts w:ascii="Arial" w:hAnsi="Arial" w:cs="Arial"/>
              </w:rPr>
            </w:pPr>
            <w:r w:rsidRPr="00E62436">
              <w:rPr>
                <w:rFonts w:ascii="Arial" w:hAnsi="Arial" w:cs="Arial"/>
              </w:rPr>
              <w:t xml:space="preserve">Local agency submission for DWR approval of an alternative to a groundwater sustainability plan </w:t>
            </w:r>
            <w:r w:rsidR="009D373F" w:rsidRPr="00E62436">
              <w:rPr>
                <w:rFonts w:ascii="Arial" w:hAnsi="Arial" w:cs="Arial"/>
              </w:rPr>
              <w:t xml:space="preserve">if </w:t>
            </w:r>
            <w:r w:rsidRPr="00E62436">
              <w:rPr>
                <w:rFonts w:ascii="Arial" w:hAnsi="Arial" w:cs="Arial"/>
              </w:rPr>
              <w:t xml:space="preserve">the local agency believes </w:t>
            </w:r>
            <w:r w:rsidR="009D373F" w:rsidRPr="00E62436">
              <w:rPr>
                <w:rFonts w:ascii="Arial" w:hAnsi="Arial" w:cs="Arial"/>
              </w:rPr>
              <w:t xml:space="preserve">the alternative </w:t>
            </w:r>
            <w:r w:rsidRPr="00E62436">
              <w:rPr>
                <w:rFonts w:ascii="Arial" w:hAnsi="Arial" w:cs="Arial"/>
              </w:rPr>
              <w:t>satisfies the objectives of the Act.</w:t>
            </w:r>
            <w:r w:rsidR="00DB34BB" w:rsidRPr="00E62436">
              <w:rPr>
                <w:rFonts w:ascii="Arial" w:hAnsi="Arial" w:cs="Arial"/>
              </w:rPr>
              <w:t xml:space="preserve"> (§10733.6.)</w:t>
            </w:r>
          </w:p>
        </w:tc>
      </w:tr>
      <w:tr w:rsidR="006E16A7" w:rsidTr="0055552C">
        <w:tc>
          <w:tcPr>
            <w:tcW w:w="2088" w:type="dxa"/>
            <w:shd w:val="clear" w:color="auto" w:fill="auto"/>
          </w:tcPr>
          <w:p w:rsidR="006E16A7" w:rsidRPr="00E62436" w:rsidRDefault="00056622" w:rsidP="0012439D">
            <w:pPr>
              <w:pStyle w:val="BodyText"/>
              <w:rPr>
                <w:rFonts w:ascii="Arial" w:hAnsi="Arial" w:cs="Arial"/>
              </w:rPr>
            </w:pPr>
            <w:r w:rsidRPr="00E62436">
              <w:rPr>
                <w:rFonts w:ascii="Arial" w:hAnsi="Arial" w:cs="Arial"/>
              </w:rPr>
              <w:t>June 30, 2017</w:t>
            </w:r>
          </w:p>
        </w:tc>
        <w:tc>
          <w:tcPr>
            <w:tcW w:w="6678" w:type="dxa"/>
            <w:shd w:val="clear" w:color="auto" w:fill="auto"/>
          </w:tcPr>
          <w:p w:rsidR="006E16A7" w:rsidRPr="00E62436" w:rsidRDefault="00056622" w:rsidP="00063A88">
            <w:pPr>
              <w:pStyle w:val="BodyText"/>
              <w:rPr>
                <w:rFonts w:ascii="Arial" w:hAnsi="Arial" w:cs="Arial"/>
              </w:rPr>
            </w:pPr>
            <w:r w:rsidRPr="00E62436">
              <w:rPr>
                <w:rFonts w:ascii="Arial" w:hAnsi="Arial" w:cs="Arial"/>
              </w:rPr>
              <w:t xml:space="preserve">A local agency of collection of local agencies elects to be </w:t>
            </w:r>
            <w:r w:rsidR="00063A88">
              <w:rPr>
                <w:rFonts w:ascii="Arial" w:hAnsi="Arial" w:cs="Arial"/>
              </w:rPr>
              <w:t>a</w:t>
            </w:r>
            <w:r w:rsidRPr="00E62436">
              <w:rPr>
                <w:rFonts w:ascii="Arial" w:hAnsi="Arial" w:cs="Arial"/>
              </w:rPr>
              <w:t xml:space="preserve"> sustainability agency for a basin.  (§ 10735.2, subd. (a)</w:t>
            </w:r>
            <w:r w:rsidR="00093CC3" w:rsidRPr="00E62436">
              <w:rPr>
                <w:rFonts w:ascii="Arial" w:hAnsi="Arial" w:cs="Arial"/>
              </w:rPr>
              <w:t>(1)</w:t>
            </w:r>
            <w:r w:rsidRPr="00E62436">
              <w:rPr>
                <w:rFonts w:ascii="Arial" w:hAnsi="Arial" w:cs="Arial"/>
              </w:rPr>
              <w:t>.)</w:t>
            </w:r>
          </w:p>
        </w:tc>
      </w:tr>
      <w:tr w:rsidR="006E16A7" w:rsidTr="0055552C">
        <w:tc>
          <w:tcPr>
            <w:tcW w:w="2088" w:type="dxa"/>
            <w:shd w:val="clear" w:color="auto" w:fill="auto"/>
          </w:tcPr>
          <w:p w:rsidR="006E16A7" w:rsidRPr="00E62436" w:rsidRDefault="00DB34BB" w:rsidP="0012439D">
            <w:pPr>
              <w:pStyle w:val="BodyText"/>
              <w:rPr>
                <w:rFonts w:ascii="Arial" w:hAnsi="Arial" w:cs="Arial"/>
              </w:rPr>
            </w:pPr>
            <w:r w:rsidRPr="00E62436">
              <w:rPr>
                <w:rFonts w:ascii="Arial" w:hAnsi="Arial" w:cs="Arial"/>
              </w:rPr>
              <w:t>July 1, 2017</w:t>
            </w:r>
          </w:p>
        </w:tc>
        <w:tc>
          <w:tcPr>
            <w:tcW w:w="6678" w:type="dxa"/>
            <w:shd w:val="clear" w:color="auto" w:fill="auto"/>
          </w:tcPr>
          <w:p w:rsidR="006E16A7" w:rsidRPr="00E62436" w:rsidRDefault="00DB34BB" w:rsidP="009D373F">
            <w:pPr>
              <w:pStyle w:val="BodyText"/>
              <w:rPr>
                <w:rFonts w:ascii="Arial" w:hAnsi="Arial" w:cs="Arial"/>
              </w:rPr>
            </w:pPr>
            <w:r w:rsidRPr="00E62436">
              <w:rPr>
                <w:rFonts w:ascii="Arial" w:hAnsi="Arial" w:cs="Arial"/>
              </w:rPr>
              <w:t>If there is an area within a basin that is not within the management area of any groundwater sustainability agency, and the county does not assume responsibility, extractions must be reported to the State Water Board.  (§§ 5202, subd. (a)(2), 10724, subd. (b).)</w:t>
            </w:r>
          </w:p>
        </w:tc>
      </w:tr>
      <w:tr w:rsidR="006E16A7" w:rsidTr="0055552C">
        <w:tc>
          <w:tcPr>
            <w:tcW w:w="2088" w:type="dxa"/>
            <w:shd w:val="clear" w:color="auto" w:fill="auto"/>
          </w:tcPr>
          <w:p w:rsidR="006E16A7" w:rsidRPr="00E62436" w:rsidRDefault="005E23BB" w:rsidP="00871EC5">
            <w:pPr>
              <w:pStyle w:val="BodyText"/>
              <w:rPr>
                <w:rFonts w:ascii="Arial" w:hAnsi="Arial" w:cs="Arial"/>
              </w:rPr>
            </w:pPr>
            <w:r w:rsidRPr="00E62436">
              <w:rPr>
                <w:rFonts w:ascii="Arial" w:hAnsi="Arial" w:cs="Arial"/>
              </w:rPr>
              <w:t xml:space="preserve">January </w:t>
            </w:r>
            <w:r w:rsidR="00871EC5" w:rsidRPr="00E62436">
              <w:rPr>
                <w:rFonts w:ascii="Arial" w:hAnsi="Arial" w:cs="Arial"/>
              </w:rPr>
              <w:t>31, 2020</w:t>
            </w:r>
          </w:p>
        </w:tc>
        <w:tc>
          <w:tcPr>
            <w:tcW w:w="6678" w:type="dxa"/>
            <w:shd w:val="clear" w:color="auto" w:fill="auto"/>
          </w:tcPr>
          <w:p w:rsidR="006E16A7" w:rsidRPr="00E62436" w:rsidRDefault="00871EC5" w:rsidP="0055552C">
            <w:pPr>
              <w:pStyle w:val="BodyText"/>
              <w:rPr>
                <w:rFonts w:ascii="Arial" w:hAnsi="Arial" w:cs="Arial"/>
              </w:rPr>
            </w:pPr>
            <w:r w:rsidRPr="00E62436">
              <w:rPr>
                <w:rFonts w:ascii="Arial" w:hAnsi="Arial" w:cs="Arial"/>
              </w:rPr>
              <w:t xml:space="preserve">Groundwater </w:t>
            </w:r>
            <w:r w:rsidR="0055552C">
              <w:rPr>
                <w:rFonts w:ascii="Arial" w:hAnsi="Arial" w:cs="Arial"/>
              </w:rPr>
              <w:t>sustainability</w:t>
            </w:r>
            <w:r w:rsidRPr="00E62436">
              <w:rPr>
                <w:rFonts w:ascii="Arial" w:hAnsi="Arial" w:cs="Arial"/>
              </w:rPr>
              <w:t xml:space="preserve"> plans required for medium- and high-priority basins that are in critical overdraft.  (§§ 10720.7,</w:t>
            </w:r>
            <w:r w:rsidR="00093CC3" w:rsidRPr="00E62436">
              <w:rPr>
                <w:rFonts w:ascii="Arial" w:hAnsi="Arial" w:cs="Arial"/>
              </w:rPr>
              <w:t xml:space="preserve"> 10735.2, subd. (a)(2).)</w:t>
            </w:r>
            <w:r w:rsidRPr="00E62436">
              <w:rPr>
                <w:rFonts w:ascii="Arial" w:hAnsi="Arial" w:cs="Arial"/>
              </w:rPr>
              <w:t xml:space="preserve"> </w:t>
            </w:r>
          </w:p>
        </w:tc>
      </w:tr>
      <w:tr w:rsidR="006E16A7" w:rsidTr="0055552C">
        <w:tc>
          <w:tcPr>
            <w:tcW w:w="2088" w:type="dxa"/>
            <w:shd w:val="clear" w:color="auto" w:fill="auto"/>
          </w:tcPr>
          <w:p w:rsidR="006E16A7" w:rsidRPr="00E62436" w:rsidRDefault="00093CC3" w:rsidP="0012439D">
            <w:pPr>
              <w:pStyle w:val="BodyText"/>
              <w:rPr>
                <w:rFonts w:ascii="Arial" w:hAnsi="Arial" w:cs="Arial"/>
              </w:rPr>
            </w:pPr>
            <w:r w:rsidRPr="00E62436">
              <w:rPr>
                <w:rFonts w:ascii="Arial" w:hAnsi="Arial" w:cs="Arial"/>
              </w:rPr>
              <w:t>January 31, 2022</w:t>
            </w:r>
          </w:p>
        </w:tc>
        <w:tc>
          <w:tcPr>
            <w:tcW w:w="6678" w:type="dxa"/>
            <w:shd w:val="clear" w:color="auto" w:fill="auto"/>
          </w:tcPr>
          <w:p w:rsidR="006E16A7" w:rsidRPr="00E62436" w:rsidRDefault="00093CC3" w:rsidP="0055552C">
            <w:pPr>
              <w:pStyle w:val="BodyText"/>
              <w:rPr>
                <w:rFonts w:ascii="Arial" w:hAnsi="Arial" w:cs="Arial"/>
              </w:rPr>
            </w:pPr>
            <w:r w:rsidRPr="00E62436">
              <w:rPr>
                <w:rFonts w:ascii="Arial" w:hAnsi="Arial" w:cs="Arial"/>
              </w:rPr>
              <w:t xml:space="preserve">Groundwater </w:t>
            </w:r>
            <w:r w:rsidR="0055552C">
              <w:rPr>
                <w:rFonts w:ascii="Arial" w:hAnsi="Arial" w:cs="Arial"/>
              </w:rPr>
              <w:t>sustainability</w:t>
            </w:r>
            <w:r w:rsidRPr="00E62436">
              <w:rPr>
                <w:rFonts w:ascii="Arial" w:hAnsi="Arial" w:cs="Arial"/>
              </w:rPr>
              <w:t xml:space="preserve"> plans required for medium- and high-priority basins that are not in critical overdraft.  (§§ 10720.7, 10735.2, subd. (a)(4).)</w:t>
            </w:r>
          </w:p>
        </w:tc>
      </w:tr>
      <w:tr w:rsidR="006E16A7" w:rsidTr="0055552C">
        <w:tc>
          <w:tcPr>
            <w:tcW w:w="2088" w:type="dxa"/>
            <w:shd w:val="clear" w:color="auto" w:fill="auto"/>
          </w:tcPr>
          <w:p w:rsidR="006E16A7" w:rsidRPr="00E62436" w:rsidRDefault="008F067B" w:rsidP="008F067B">
            <w:pPr>
              <w:pStyle w:val="BodyText"/>
              <w:rPr>
                <w:rFonts w:ascii="Arial" w:hAnsi="Arial" w:cs="Arial"/>
              </w:rPr>
            </w:pPr>
            <w:r w:rsidRPr="00E62436">
              <w:rPr>
                <w:rFonts w:ascii="Arial" w:hAnsi="Arial" w:cs="Arial"/>
              </w:rPr>
              <w:t xml:space="preserve">20 </w:t>
            </w:r>
            <w:r w:rsidR="001F17CD" w:rsidRPr="00E62436">
              <w:rPr>
                <w:rFonts w:ascii="Arial" w:hAnsi="Arial" w:cs="Arial"/>
              </w:rPr>
              <w:t xml:space="preserve">years after plan </w:t>
            </w:r>
            <w:r w:rsidRPr="00E62436">
              <w:rPr>
                <w:rFonts w:ascii="Arial" w:hAnsi="Arial" w:cs="Arial"/>
              </w:rPr>
              <w:t>adoption</w:t>
            </w:r>
          </w:p>
        </w:tc>
        <w:tc>
          <w:tcPr>
            <w:tcW w:w="6678" w:type="dxa"/>
            <w:shd w:val="clear" w:color="auto" w:fill="auto"/>
          </w:tcPr>
          <w:p w:rsidR="006E16A7" w:rsidRPr="00E62436" w:rsidRDefault="001F17CD" w:rsidP="0055552C">
            <w:pPr>
              <w:pStyle w:val="BodyText"/>
              <w:rPr>
                <w:rFonts w:ascii="Arial" w:hAnsi="Arial" w:cs="Arial"/>
              </w:rPr>
            </w:pPr>
            <w:r w:rsidRPr="00E62436">
              <w:rPr>
                <w:rFonts w:ascii="Arial" w:hAnsi="Arial" w:cs="Arial"/>
              </w:rPr>
              <w:t xml:space="preserve">Groundwater </w:t>
            </w:r>
            <w:r w:rsidR="0055552C">
              <w:rPr>
                <w:rFonts w:ascii="Arial" w:hAnsi="Arial" w:cs="Arial"/>
              </w:rPr>
              <w:t>sustainability</w:t>
            </w:r>
            <w:r w:rsidRPr="00E62436">
              <w:rPr>
                <w:rFonts w:ascii="Arial" w:hAnsi="Arial" w:cs="Arial"/>
              </w:rPr>
              <w:t xml:space="preserve"> plans achieve the sustainability goal.  (§ 10727.2, subd. (b).)</w:t>
            </w:r>
          </w:p>
        </w:tc>
      </w:tr>
    </w:tbl>
    <w:p w:rsidR="00FF225B" w:rsidRDefault="00FF225B" w:rsidP="006E16A7">
      <w:pPr>
        <w:pStyle w:val="BodyText"/>
        <w:ind w:left="90"/>
        <w:jc w:val="center"/>
        <w:rPr>
          <w:rFonts w:ascii="Arial" w:hAnsi="Arial" w:cs="Arial"/>
        </w:rPr>
      </w:pPr>
    </w:p>
    <w:p w:rsidR="00406D70" w:rsidRDefault="006E2D07" w:rsidP="00517E77">
      <w:pPr>
        <w:pStyle w:val="BodyText"/>
        <w:ind w:left="1440" w:hanging="360"/>
        <w:rPr>
          <w:rFonts w:ascii="Arial" w:hAnsi="Arial" w:cs="Arial"/>
        </w:rPr>
      </w:pPr>
      <w:r>
        <w:rPr>
          <w:rFonts w:ascii="Arial" w:hAnsi="Arial" w:cs="Arial"/>
        </w:rPr>
        <w:t>9</w:t>
      </w:r>
      <w:r w:rsidR="00517E77">
        <w:rPr>
          <w:rFonts w:ascii="Arial" w:hAnsi="Arial" w:cs="Arial"/>
        </w:rPr>
        <w:t xml:space="preserve">.  </w:t>
      </w:r>
      <w:r w:rsidR="00C61F6D">
        <w:rPr>
          <w:rFonts w:ascii="Arial" w:hAnsi="Arial" w:cs="Arial"/>
        </w:rPr>
        <w:t>SGMA i</w:t>
      </w:r>
      <w:r w:rsidR="00517E77">
        <w:rPr>
          <w:rFonts w:ascii="Arial" w:hAnsi="Arial" w:cs="Arial"/>
        </w:rPr>
        <w:t>ncludes provisions for consultation with land use planning agency to promote better consistency between land use and groundwater management.</w:t>
      </w:r>
      <w:r w:rsidR="00E74875">
        <w:rPr>
          <w:rFonts w:ascii="Arial" w:hAnsi="Arial" w:cs="Arial"/>
        </w:rPr>
        <w:t xml:space="preserve"> (</w:t>
      </w:r>
      <w:r w:rsidR="00FF225B">
        <w:rPr>
          <w:rFonts w:ascii="Arial" w:hAnsi="Arial" w:cs="Arial"/>
        </w:rPr>
        <w:t xml:space="preserve">Gov. Code, §§ 65350.5, 65352, 65352.5; </w:t>
      </w:r>
      <w:r w:rsidR="00E74875">
        <w:rPr>
          <w:rFonts w:ascii="Arial" w:hAnsi="Arial" w:cs="Arial"/>
        </w:rPr>
        <w:t>Wat. Code, § 10726.9.)</w:t>
      </w:r>
    </w:p>
    <w:p w:rsidR="00517E77" w:rsidRDefault="006E2D07" w:rsidP="006148CF">
      <w:pPr>
        <w:pStyle w:val="BodyText"/>
        <w:ind w:left="1440" w:hanging="360"/>
        <w:rPr>
          <w:rFonts w:ascii="Arial" w:hAnsi="Arial" w:cs="Arial"/>
        </w:rPr>
      </w:pPr>
      <w:r>
        <w:rPr>
          <w:rFonts w:ascii="Arial" w:hAnsi="Arial" w:cs="Arial"/>
        </w:rPr>
        <w:t>10</w:t>
      </w:r>
      <w:r w:rsidR="006148CF">
        <w:rPr>
          <w:rFonts w:ascii="Arial" w:hAnsi="Arial" w:cs="Arial"/>
        </w:rPr>
        <w:t>.</w:t>
      </w:r>
      <w:r w:rsidR="006148CF">
        <w:rPr>
          <w:rFonts w:ascii="Arial" w:hAnsi="Arial" w:cs="Arial"/>
        </w:rPr>
        <w:tab/>
      </w:r>
      <w:r w:rsidR="00744ADA">
        <w:rPr>
          <w:rFonts w:ascii="Arial" w:hAnsi="Arial" w:cs="Arial"/>
        </w:rPr>
        <w:t xml:space="preserve"> </w:t>
      </w:r>
      <w:r w:rsidR="006148CF">
        <w:rPr>
          <w:rFonts w:ascii="Arial" w:hAnsi="Arial" w:cs="Arial"/>
        </w:rPr>
        <w:t xml:space="preserve">A Water Code provision adopted with SGMA sets </w:t>
      </w:r>
      <w:r w:rsidR="00517E77">
        <w:rPr>
          <w:rFonts w:ascii="Arial" w:hAnsi="Arial" w:cs="Arial"/>
        </w:rPr>
        <w:t>state policy that groundwater resources be sustainably managed.</w:t>
      </w:r>
      <w:r w:rsidR="00B743A2">
        <w:rPr>
          <w:rFonts w:ascii="Arial" w:hAnsi="Arial" w:cs="Arial"/>
        </w:rPr>
        <w:t xml:space="preserve">  </w:t>
      </w:r>
      <w:r w:rsidR="00B743A2" w:rsidRPr="00B743A2">
        <w:rPr>
          <w:rFonts w:ascii="Arial" w:hAnsi="Arial" w:cs="Arial"/>
        </w:rPr>
        <w:t>(Wat. Code, § 113</w:t>
      </w:r>
      <w:r w:rsidR="006148CF">
        <w:rPr>
          <w:rFonts w:ascii="Arial" w:hAnsi="Arial" w:cs="Arial"/>
        </w:rPr>
        <w:t>.</w:t>
      </w:r>
      <w:r w:rsidR="00B743A2" w:rsidRPr="00B743A2">
        <w:rPr>
          <w:rFonts w:ascii="Arial" w:hAnsi="Arial" w:cs="Arial"/>
        </w:rPr>
        <w:t>)</w:t>
      </w:r>
    </w:p>
    <w:p w:rsidR="007026E0" w:rsidRDefault="007E2110" w:rsidP="00406D70">
      <w:pPr>
        <w:pStyle w:val="BodyText"/>
        <w:ind w:left="1440" w:hanging="360"/>
        <w:rPr>
          <w:rFonts w:ascii="Arial" w:hAnsi="Arial" w:cs="Arial"/>
        </w:rPr>
      </w:pPr>
      <w:r>
        <w:rPr>
          <w:rFonts w:ascii="Arial" w:hAnsi="Arial" w:cs="Arial"/>
        </w:rPr>
        <w:t>1</w:t>
      </w:r>
      <w:r w:rsidR="006E2D07">
        <w:rPr>
          <w:rFonts w:ascii="Arial" w:hAnsi="Arial" w:cs="Arial"/>
        </w:rPr>
        <w:t>1</w:t>
      </w:r>
      <w:r w:rsidR="00517E77">
        <w:rPr>
          <w:rFonts w:ascii="Arial" w:hAnsi="Arial" w:cs="Arial"/>
        </w:rPr>
        <w:t>. Does not determine or alter proprietary water rights or limit the authority of state or local agencies under other laws.</w:t>
      </w:r>
      <w:r w:rsidR="00FF225B">
        <w:rPr>
          <w:rFonts w:ascii="Arial" w:hAnsi="Arial" w:cs="Arial"/>
        </w:rPr>
        <w:t xml:space="preserve"> </w:t>
      </w:r>
      <w:r w:rsidR="00E624FC">
        <w:rPr>
          <w:rFonts w:ascii="Arial" w:hAnsi="Arial" w:cs="Arial"/>
        </w:rPr>
        <w:t>(</w:t>
      </w:r>
      <w:r w:rsidR="00FF225B">
        <w:rPr>
          <w:rFonts w:ascii="Arial" w:hAnsi="Arial" w:cs="Arial"/>
        </w:rPr>
        <w:t xml:space="preserve">Wat. Code, §§ </w:t>
      </w:r>
      <w:r w:rsidR="008976A9">
        <w:rPr>
          <w:rFonts w:ascii="Arial" w:hAnsi="Arial" w:cs="Arial"/>
        </w:rPr>
        <w:t xml:space="preserve">10720.5, </w:t>
      </w:r>
      <w:r w:rsidR="00FF225B">
        <w:rPr>
          <w:rFonts w:ascii="Arial" w:hAnsi="Arial" w:cs="Arial"/>
        </w:rPr>
        <w:t>10726.8, 10730.8, 10735.8, subd. (</w:t>
      </w:r>
      <w:proofErr w:type="spellStart"/>
      <w:r w:rsidR="005378DA">
        <w:rPr>
          <w:rFonts w:ascii="Arial" w:hAnsi="Arial" w:cs="Arial"/>
        </w:rPr>
        <w:t>i</w:t>
      </w:r>
      <w:proofErr w:type="spellEnd"/>
      <w:r w:rsidR="00FF225B">
        <w:rPr>
          <w:rFonts w:ascii="Arial" w:hAnsi="Arial" w:cs="Arial"/>
        </w:rPr>
        <w:t>)</w:t>
      </w:r>
      <w:r w:rsidR="006148CF">
        <w:rPr>
          <w:rFonts w:ascii="Arial" w:hAnsi="Arial" w:cs="Arial"/>
        </w:rPr>
        <w:t>.</w:t>
      </w:r>
      <w:r w:rsidR="005378DA">
        <w:rPr>
          <w:rFonts w:ascii="Arial" w:hAnsi="Arial" w:cs="Arial"/>
        </w:rPr>
        <w:t>)</w:t>
      </w:r>
    </w:p>
    <w:p w:rsidR="00465BB3" w:rsidRDefault="00C61F6D" w:rsidP="00C61F6D">
      <w:pPr>
        <w:pStyle w:val="BodyText"/>
        <w:rPr>
          <w:rFonts w:ascii="Arial" w:hAnsi="Arial" w:cs="Arial"/>
        </w:rPr>
      </w:pPr>
      <w:r>
        <w:rPr>
          <w:rFonts w:ascii="Arial" w:hAnsi="Arial" w:cs="Arial"/>
        </w:rPr>
        <w:tab/>
        <w:t>B.  SGMA and Interconnected Surface Water</w:t>
      </w:r>
    </w:p>
    <w:p w:rsidR="006148CF" w:rsidRDefault="006148CF" w:rsidP="006148CF">
      <w:pPr>
        <w:pStyle w:val="BodyText"/>
        <w:numPr>
          <w:ilvl w:val="0"/>
          <w:numId w:val="29"/>
        </w:numPr>
        <w:rPr>
          <w:rFonts w:ascii="Arial" w:hAnsi="Arial" w:cs="Arial"/>
        </w:rPr>
      </w:pPr>
      <w:r>
        <w:rPr>
          <w:rFonts w:ascii="Arial" w:hAnsi="Arial" w:cs="Arial"/>
        </w:rPr>
        <w:t xml:space="preserve">Groundwater sustainability plans may address, and in some circumstances are required  to address, affects on interconnected surface water. (See Wat. Code, §§ 10721, subd. (u), (w) &amp; (x); 10727, subd. (a).) </w:t>
      </w:r>
    </w:p>
    <w:p w:rsidR="007E2110" w:rsidRDefault="006148CF" w:rsidP="007E2110">
      <w:pPr>
        <w:pStyle w:val="BodyText"/>
        <w:numPr>
          <w:ilvl w:val="0"/>
          <w:numId w:val="30"/>
        </w:numPr>
        <w:rPr>
          <w:rFonts w:ascii="Arial" w:hAnsi="Arial" w:cs="Arial"/>
        </w:rPr>
      </w:pPr>
      <w:r w:rsidRPr="006148CF">
        <w:rPr>
          <w:rFonts w:ascii="Arial" w:hAnsi="Arial" w:cs="Arial"/>
        </w:rPr>
        <w:t>Undesirable result</w:t>
      </w:r>
      <w:r w:rsidR="007E2110">
        <w:rPr>
          <w:rFonts w:ascii="Arial" w:hAnsi="Arial" w:cs="Arial"/>
        </w:rPr>
        <w:t xml:space="preserve"> to be addressed in groundwater sustainability plans include: “</w:t>
      </w:r>
      <w:r w:rsidRPr="006148CF">
        <w:rPr>
          <w:rFonts w:ascii="Arial" w:hAnsi="Arial" w:cs="Arial"/>
        </w:rPr>
        <w:t>Depletions of interconnected surface water that have significant and unreasonable adverse impacts on beneficial uses of the surface water.” (Wat. Code, § 10721, subd. (x)</w:t>
      </w:r>
      <w:r w:rsidR="007E2110">
        <w:rPr>
          <w:rFonts w:ascii="Arial" w:hAnsi="Arial" w:cs="Arial"/>
        </w:rPr>
        <w:t>(g)</w:t>
      </w:r>
      <w:r w:rsidRPr="006148CF">
        <w:rPr>
          <w:rFonts w:ascii="Arial" w:hAnsi="Arial" w:cs="Arial"/>
        </w:rPr>
        <w:t>.)</w:t>
      </w:r>
    </w:p>
    <w:p w:rsidR="005F0CBB" w:rsidRPr="005F0CBB" w:rsidRDefault="007E2110" w:rsidP="005F0CBB">
      <w:pPr>
        <w:pStyle w:val="BodyText"/>
        <w:numPr>
          <w:ilvl w:val="0"/>
          <w:numId w:val="31"/>
        </w:numPr>
        <w:ind w:left="1800" w:hanging="360"/>
        <w:rPr>
          <w:rFonts w:ascii="Arial" w:hAnsi="Arial" w:cs="Arial"/>
        </w:rPr>
      </w:pPr>
      <w:r>
        <w:rPr>
          <w:rFonts w:ascii="Arial" w:hAnsi="Arial" w:cs="Arial"/>
        </w:rPr>
        <w:t xml:space="preserve">Groundwater sustainability plans may, but are not required to, </w:t>
      </w:r>
      <w:r w:rsidR="006148CF" w:rsidRPr="006148CF">
        <w:rPr>
          <w:rFonts w:ascii="Arial" w:hAnsi="Arial" w:cs="Arial"/>
        </w:rPr>
        <w:t>address undesirable results that occurred before, and have not been corrected by, January 1, 2015.” (Id., § 10727.2, subd. (b)(4).)</w:t>
      </w:r>
    </w:p>
    <w:p w:rsidR="006E2D07" w:rsidRDefault="006E2D07" w:rsidP="00007796">
      <w:pPr>
        <w:pStyle w:val="BodyText"/>
        <w:numPr>
          <w:ilvl w:val="0"/>
          <w:numId w:val="29"/>
        </w:numPr>
        <w:rPr>
          <w:rFonts w:ascii="Arial" w:hAnsi="Arial" w:cs="Arial"/>
        </w:rPr>
      </w:pPr>
      <w:r>
        <w:rPr>
          <w:rFonts w:ascii="Arial" w:hAnsi="Arial" w:cs="Arial"/>
        </w:rPr>
        <w:t>DWR’s SGMA regulations set requirements for addressing effects on interconnected surface waters.</w:t>
      </w:r>
    </w:p>
    <w:p w:rsidR="004739C0" w:rsidRDefault="004739C0" w:rsidP="006E2D07">
      <w:pPr>
        <w:pStyle w:val="BodyText"/>
        <w:numPr>
          <w:ilvl w:val="0"/>
          <w:numId w:val="35"/>
        </w:numPr>
        <w:rPr>
          <w:rFonts w:ascii="Arial" w:hAnsi="Arial" w:cs="Arial"/>
        </w:rPr>
      </w:pPr>
      <w:r>
        <w:rPr>
          <w:rFonts w:ascii="Arial" w:hAnsi="Arial" w:cs="Arial"/>
        </w:rPr>
        <w:t>A groundwater sustainability plan must include identification of interconnected surface water systems and an estimate of the quantity and timing of depletions of those systems. (Cal. Code Regs., tit. 23, § 354.16, subd. (f).)</w:t>
      </w:r>
    </w:p>
    <w:p w:rsidR="004739C0" w:rsidRDefault="00CA44B2" w:rsidP="00CA44B2">
      <w:pPr>
        <w:pStyle w:val="BodyText"/>
        <w:ind w:left="1800" w:hanging="360"/>
        <w:rPr>
          <w:rFonts w:ascii="Arial" w:hAnsi="Arial" w:cs="Arial"/>
        </w:rPr>
      </w:pPr>
      <w:r>
        <w:rPr>
          <w:rFonts w:ascii="Arial" w:hAnsi="Arial" w:cs="Arial"/>
        </w:rPr>
        <w:t xml:space="preserve">ii.   </w:t>
      </w:r>
      <w:r w:rsidR="004739C0">
        <w:rPr>
          <w:rFonts w:ascii="Arial" w:hAnsi="Arial" w:cs="Arial"/>
        </w:rPr>
        <w:t>A g</w:t>
      </w:r>
      <w:r w:rsidR="006E2D07">
        <w:rPr>
          <w:rFonts w:ascii="Arial" w:hAnsi="Arial" w:cs="Arial"/>
        </w:rPr>
        <w:t>roundwater sustainability agenc</w:t>
      </w:r>
      <w:r w:rsidR="004739C0">
        <w:rPr>
          <w:rFonts w:ascii="Arial" w:hAnsi="Arial" w:cs="Arial"/>
        </w:rPr>
        <w:t>y</w:t>
      </w:r>
      <w:r w:rsidR="006E2D07">
        <w:rPr>
          <w:rFonts w:ascii="Arial" w:hAnsi="Arial" w:cs="Arial"/>
        </w:rPr>
        <w:t xml:space="preserve"> must set thresholds</w:t>
      </w:r>
      <w:r w:rsidR="004739C0">
        <w:rPr>
          <w:rFonts w:ascii="Arial" w:hAnsi="Arial" w:cs="Arial"/>
        </w:rPr>
        <w:t>, including a threshold</w:t>
      </w:r>
      <w:r w:rsidR="006E2D07">
        <w:rPr>
          <w:rFonts w:ascii="Arial" w:hAnsi="Arial" w:cs="Arial"/>
        </w:rPr>
        <w:t xml:space="preserve"> for </w:t>
      </w:r>
      <w:r w:rsidR="004739C0">
        <w:rPr>
          <w:rFonts w:ascii="Arial" w:hAnsi="Arial" w:cs="Arial"/>
        </w:rPr>
        <w:t xml:space="preserve">the rate or volume of surface water depletions caused by groundwater use that would have adverse impacts on beneficial use of surface waters, supported by a model to quantify or assess the depletion. </w:t>
      </w:r>
      <w:r w:rsidR="006E2D07">
        <w:rPr>
          <w:rFonts w:ascii="Arial" w:hAnsi="Arial" w:cs="Arial"/>
        </w:rPr>
        <w:t>(</w:t>
      </w:r>
      <w:r>
        <w:rPr>
          <w:rFonts w:ascii="Arial" w:hAnsi="Arial" w:cs="Arial"/>
          <w:i/>
        </w:rPr>
        <w:t>Id.,</w:t>
      </w:r>
      <w:r w:rsidR="006E2D07">
        <w:rPr>
          <w:rFonts w:ascii="Arial" w:hAnsi="Arial" w:cs="Arial"/>
        </w:rPr>
        <w:t xml:space="preserve"> § 354.28, subd. (c)(6)</w:t>
      </w:r>
      <w:r w:rsidR="004739C0">
        <w:rPr>
          <w:rFonts w:ascii="Arial" w:hAnsi="Arial" w:cs="Arial"/>
        </w:rPr>
        <w:t>.)</w:t>
      </w:r>
    </w:p>
    <w:p w:rsidR="004739C0" w:rsidRDefault="004739C0" w:rsidP="00CA44B2">
      <w:pPr>
        <w:pStyle w:val="BodyText"/>
        <w:ind w:left="1800" w:hanging="360"/>
        <w:rPr>
          <w:rFonts w:ascii="Arial" w:hAnsi="Arial" w:cs="Arial"/>
        </w:rPr>
      </w:pPr>
      <w:r>
        <w:rPr>
          <w:rFonts w:ascii="Arial" w:hAnsi="Arial" w:cs="Arial"/>
        </w:rPr>
        <w:t>i</w:t>
      </w:r>
      <w:r w:rsidR="00CA44B2">
        <w:rPr>
          <w:rFonts w:ascii="Arial" w:hAnsi="Arial" w:cs="Arial"/>
        </w:rPr>
        <w:t>i</w:t>
      </w:r>
      <w:r>
        <w:rPr>
          <w:rFonts w:ascii="Arial" w:hAnsi="Arial" w:cs="Arial"/>
        </w:rPr>
        <w:t xml:space="preserve">i.   A groundwater sustainability agencies must develop a monitoring element to provide the basis for calculating </w:t>
      </w:r>
      <w:r w:rsidRPr="004739C0">
        <w:rPr>
          <w:rFonts w:ascii="Arial" w:hAnsi="Arial" w:cs="Arial"/>
        </w:rPr>
        <w:t>depletions of surface water caused by groundwater extractions.</w:t>
      </w:r>
      <w:r>
        <w:rPr>
          <w:rFonts w:ascii="Arial" w:hAnsi="Arial" w:cs="Arial"/>
        </w:rPr>
        <w:t xml:space="preserve"> (</w:t>
      </w:r>
      <w:r>
        <w:rPr>
          <w:rFonts w:ascii="Arial" w:hAnsi="Arial" w:cs="Arial"/>
          <w:i/>
        </w:rPr>
        <w:t xml:space="preserve">Id., </w:t>
      </w:r>
      <w:r>
        <w:rPr>
          <w:rFonts w:ascii="Arial" w:hAnsi="Arial" w:cs="Arial"/>
        </w:rPr>
        <w:t xml:space="preserve">§ 354.34, subd (c)(6.) </w:t>
      </w:r>
    </w:p>
    <w:p w:rsidR="00CA44B2" w:rsidRDefault="00CA44B2" w:rsidP="006E2D07">
      <w:pPr>
        <w:pStyle w:val="BodyText"/>
        <w:numPr>
          <w:ilvl w:val="0"/>
          <w:numId w:val="29"/>
        </w:numPr>
        <w:rPr>
          <w:rFonts w:ascii="Arial" w:hAnsi="Arial" w:cs="Arial"/>
        </w:rPr>
      </w:pPr>
      <w:r>
        <w:rPr>
          <w:rFonts w:ascii="Arial" w:hAnsi="Arial" w:cs="Arial"/>
        </w:rPr>
        <w:t xml:space="preserve">Surface water impacts may result from groundwater extractions in multiple basins, requiring coordination of groundwater management. (See generally </w:t>
      </w:r>
      <w:r>
        <w:rPr>
          <w:rFonts w:ascii="Arial" w:hAnsi="Arial" w:cs="Arial"/>
          <w:i/>
        </w:rPr>
        <w:t xml:space="preserve">id., </w:t>
      </w:r>
      <w:r>
        <w:rPr>
          <w:rFonts w:ascii="Arial" w:hAnsi="Arial" w:cs="Arial"/>
        </w:rPr>
        <w:t>§ 357.2 [</w:t>
      </w:r>
      <w:proofErr w:type="spellStart"/>
      <w:r>
        <w:rPr>
          <w:rFonts w:ascii="Arial" w:hAnsi="Arial" w:cs="Arial"/>
        </w:rPr>
        <w:t>Interbasin</w:t>
      </w:r>
      <w:proofErr w:type="spellEnd"/>
      <w:r>
        <w:rPr>
          <w:rFonts w:ascii="Arial" w:hAnsi="Arial" w:cs="Arial"/>
        </w:rPr>
        <w:t xml:space="preserve"> Agreements].)</w:t>
      </w:r>
    </w:p>
    <w:p w:rsidR="00007796" w:rsidRPr="006E2D07" w:rsidRDefault="00007796" w:rsidP="006E2D07">
      <w:pPr>
        <w:pStyle w:val="BodyText"/>
        <w:numPr>
          <w:ilvl w:val="0"/>
          <w:numId w:val="29"/>
        </w:numPr>
        <w:rPr>
          <w:rFonts w:ascii="Arial" w:hAnsi="Arial" w:cs="Arial"/>
        </w:rPr>
      </w:pPr>
      <w:r w:rsidRPr="006E2D07">
        <w:rPr>
          <w:rFonts w:ascii="Arial" w:hAnsi="Arial" w:cs="Arial"/>
        </w:rPr>
        <w:t>State Water Board intervention authority include</w:t>
      </w:r>
      <w:r w:rsidR="00120E4F">
        <w:rPr>
          <w:rFonts w:ascii="Arial" w:hAnsi="Arial" w:cs="Arial"/>
        </w:rPr>
        <w:t>s</w:t>
      </w:r>
      <w:r w:rsidRPr="006E2D07">
        <w:rPr>
          <w:rFonts w:ascii="Arial" w:hAnsi="Arial" w:cs="Arial"/>
        </w:rPr>
        <w:t xml:space="preserve"> authority to address impacts on interconnected surface water.</w:t>
      </w:r>
    </w:p>
    <w:p w:rsidR="00007796" w:rsidRDefault="00007796" w:rsidP="00007796">
      <w:pPr>
        <w:pStyle w:val="BodyText"/>
        <w:numPr>
          <w:ilvl w:val="0"/>
          <w:numId w:val="32"/>
        </w:numPr>
        <w:rPr>
          <w:rFonts w:ascii="Arial" w:hAnsi="Arial" w:cs="Arial"/>
        </w:rPr>
      </w:pPr>
      <w:r>
        <w:rPr>
          <w:rFonts w:ascii="Arial" w:hAnsi="Arial" w:cs="Arial"/>
        </w:rPr>
        <w:t>The State Water Board may declare a basin to be probationary based on impacts on interconnected surface</w:t>
      </w:r>
      <w:r w:rsidR="005F0CBB">
        <w:rPr>
          <w:rFonts w:ascii="Arial" w:hAnsi="Arial" w:cs="Arial"/>
        </w:rPr>
        <w:t xml:space="preserve"> water</w:t>
      </w:r>
      <w:r>
        <w:rPr>
          <w:rFonts w:ascii="Arial" w:hAnsi="Arial" w:cs="Arial"/>
        </w:rPr>
        <w:t>, and include measures to correct those impacts as part of an interim plan. (Wat. Code, §</w:t>
      </w:r>
      <w:r w:rsidR="005F0CBB">
        <w:rPr>
          <w:rFonts w:ascii="Arial" w:hAnsi="Arial" w:cs="Arial"/>
        </w:rPr>
        <w:t>§  10735.2, subd. (a)(5)(B),</w:t>
      </w:r>
      <w:r>
        <w:rPr>
          <w:rFonts w:ascii="Arial" w:hAnsi="Arial" w:cs="Arial"/>
        </w:rPr>
        <w:t xml:space="preserve"> 10735.8, subd. (b)(1).)</w:t>
      </w:r>
    </w:p>
    <w:p w:rsidR="00C61F6D" w:rsidRDefault="004850A6" w:rsidP="004850A6">
      <w:pPr>
        <w:pStyle w:val="BodyText"/>
        <w:numPr>
          <w:ilvl w:val="0"/>
          <w:numId w:val="33"/>
        </w:numPr>
        <w:ind w:left="1800" w:hanging="360"/>
        <w:rPr>
          <w:rFonts w:ascii="Arial" w:hAnsi="Arial" w:cs="Arial"/>
        </w:rPr>
      </w:pPr>
      <w:r>
        <w:rPr>
          <w:rFonts w:ascii="Arial" w:hAnsi="Arial" w:cs="Arial"/>
        </w:rPr>
        <w:t xml:space="preserve">State Water Board intervention authority </w:t>
      </w:r>
      <w:r w:rsidR="00007796">
        <w:rPr>
          <w:rFonts w:ascii="Arial" w:hAnsi="Arial" w:cs="Arial"/>
        </w:rPr>
        <w:t>is delayed as applied to impacts on interconnected surface water. (§</w:t>
      </w:r>
      <w:r>
        <w:rPr>
          <w:rFonts w:ascii="Arial" w:hAnsi="Arial" w:cs="Arial"/>
        </w:rPr>
        <w:t>§</w:t>
      </w:r>
      <w:r w:rsidR="00007796">
        <w:rPr>
          <w:rFonts w:ascii="Arial" w:hAnsi="Arial" w:cs="Arial"/>
        </w:rPr>
        <w:t xml:space="preserve"> 10735.8, subd. (h) [</w:t>
      </w:r>
      <w:r>
        <w:rPr>
          <w:rFonts w:ascii="Arial" w:hAnsi="Arial" w:cs="Arial"/>
        </w:rPr>
        <w:t xml:space="preserve">Before January 1, 2025, the </w:t>
      </w:r>
      <w:r w:rsidR="00007796">
        <w:rPr>
          <w:rFonts w:ascii="Arial" w:hAnsi="Arial" w:cs="Arial"/>
        </w:rPr>
        <w:t>S</w:t>
      </w:r>
      <w:r w:rsidR="00007796" w:rsidRPr="00007796">
        <w:rPr>
          <w:rFonts w:ascii="Arial" w:hAnsi="Arial" w:cs="Arial"/>
        </w:rPr>
        <w:t>tate</w:t>
      </w:r>
      <w:r w:rsidR="00007796">
        <w:rPr>
          <w:rFonts w:ascii="Arial" w:hAnsi="Arial" w:cs="Arial"/>
        </w:rPr>
        <w:t xml:space="preserve"> Water Board</w:t>
      </w:r>
      <w:r>
        <w:rPr>
          <w:rFonts w:ascii="Arial" w:hAnsi="Arial" w:cs="Arial"/>
        </w:rPr>
        <w:t xml:space="preserve"> cannot adopt an interim plan for a probationary basin</w:t>
      </w:r>
      <w:r w:rsidR="00007796">
        <w:rPr>
          <w:rFonts w:ascii="Arial" w:hAnsi="Arial" w:cs="Arial"/>
        </w:rPr>
        <w:t xml:space="preserve"> to address impacts on interconnected surface waters</w:t>
      </w:r>
      <w:r>
        <w:rPr>
          <w:rFonts w:ascii="Arial" w:hAnsi="Arial" w:cs="Arial"/>
        </w:rPr>
        <w:t>]; 107</w:t>
      </w:r>
      <w:r w:rsidR="000A395E">
        <w:rPr>
          <w:rFonts w:ascii="Arial" w:hAnsi="Arial" w:cs="Arial"/>
        </w:rPr>
        <w:t>3</w:t>
      </w:r>
      <w:r>
        <w:rPr>
          <w:rFonts w:ascii="Arial" w:hAnsi="Arial" w:cs="Arial"/>
        </w:rPr>
        <w:t>5.2, subd. (a)(</w:t>
      </w:r>
      <w:r w:rsidR="000A395E">
        <w:rPr>
          <w:rFonts w:ascii="Arial" w:hAnsi="Arial" w:cs="Arial"/>
        </w:rPr>
        <w:t>5</w:t>
      </w:r>
      <w:r>
        <w:rPr>
          <w:rFonts w:ascii="Arial" w:hAnsi="Arial" w:cs="Arial"/>
        </w:rPr>
        <w:t>)(B) [If a groundwater sustainability agency has been formed and prepared a groundwater sustainability plan, the State Water Board cannot designate the basin as probationary based on impacts on interconnected surface waters before January 31, 2025].</w:t>
      </w:r>
      <w:r w:rsidR="00007796">
        <w:rPr>
          <w:rFonts w:ascii="Arial" w:hAnsi="Arial" w:cs="Arial"/>
        </w:rPr>
        <w:t>)</w:t>
      </w:r>
      <w:r w:rsidR="00C61F6D">
        <w:rPr>
          <w:rFonts w:ascii="Arial" w:hAnsi="Arial" w:cs="Arial"/>
        </w:rPr>
        <w:tab/>
      </w:r>
    </w:p>
    <w:sectPr w:rsidR="00C61F6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AAB" w:rsidRDefault="00E35AAB">
      <w:r>
        <w:separator/>
      </w:r>
    </w:p>
  </w:endnote>
  <w:endnote w:type="continuationSeparator" w:id="0">
    <w:p w:rsidR="00E35AAB" w:rsidRDefault="00E3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55" w:rsidRDefault="002D5F55">
    <w:pPr>
      <w:pStyle w:val="Footer"/>
      <w:jc w:val="center"/>
    </w:pPr>
    <w:r>
      <w:fldChar w:fldCharType="begin"/>
    </w:r>
    <w:r>
      <w:instrText xml:space="preserve"> PAGE   \* MERGEFORMAT </w:instrText>
    </w:r>
    <w:r>
      <w:fldChar w:fldCharType="separate"/>
    </w:r>
    <w:r w:rsidR="00545754">
      <w:rPr>
        <w:noProof/>
      </w:rPr>
      <w:t>12</w:t>
    </w:r>
    <w:r>
      <w:fldChar w:fldCharType="end"/>
    </w:r>
  </w:p>
  <w:p w:rsidR="002D5F55" w:rsidRDefault="002D5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AAB" w:rsidRDefault="00E35AAB">
      <w:r>
        <w:separator/>
      </w:r>
    </w:p>
  </w:footnote>
  <w:footnote w:type="continuationSeparator" w:id="0">
    <w:p w:rsidR="00E35AAB" w:rsidRDefault="00E35AAB">
      <w:r>
        <w:continuationSeparator/>
      </w:r>
    </w:p>
  </w:footnote>
  <w:footnote w:id="1">
    <w:p w:rsidR="002D5F55" w:rsidRDefault="002D5F55">
      <w:pPr>
        <w:pStyle w:val="FootnoteText"/>
        <w:tabs>
          <w:tab w:val="left" w:pos="-720"/>
        </w:tabs>
        <w:suppressAutoHyphens/>
        <w:spacing w:after="240"/>
      </w:pPr>
      <w:r>
        <w:rPr>
          <w:rStyle w:val="FootnoteReference"/>
          <w:rFonts w:ascii="Times New Roman" w:hAnsi="Times New Roman"/>
        </w:rPr>
        <w:t xml:space="preserve">     </w:t>
      </w:r>
      <w:r>
        <w:rPr>
          <w:rStyle w:val="FootnoteReference"/>
        </w:rPr>
        <w:t>*</w:t>
      </w:r>
      <w:r>
        <w:t xml:space="preserve">  Assistant Chief Counsel, California State Water Resources Control Board (State Water Board).  The views expressed in this article are those of the author, and do not necessarily reflect the views of the State Water Board, its individual members, or the State of California.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2FA"/>
    <w:multiLevelType w:val="hybridMultilevel"/>
    <w:tmpl w:val="291A10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424902"/>
    <w:multiLevelType w:val="hybridMultilevel"/>
    <w:tmpl w:val="66B254E6"/>
    <w:lvl w:ilvl="0" w:tplc="04090019">
      <w:start w:val="1"/>
      <w:numFmt w:val="lowerLetter"/>
      <w:lvlText w:val="%1."/>
      <w:lvlJc w:val="left"/>
      <w:pPr>
        <w:tabs>
          <w:tab w:val="num" w:pos="1980"/>
        </w:tabs>
        <w:ind w:left="1980" w:hanging="360"/>
      </w:pPr>
      <w:rPr>
        <w:rFonts w:hint="default"/>
      </w:rPr>
    </w:lvl>
    <w:lvl w:ilvl="1" w:tplc="4A0CFAE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91238FC"/>
    <w:multiLevelType w:val="hybridMultilevel"/>
    <w:tmpl w:val="9E745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312BE"/>
    <w:multiLevelType w:val="hybridMultilevel"/>
    <w:tmpl w:val="DAD2297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652E32"/>
    <w:multiLevelType w:val="hybridMultilevel"/>
    <w:tmpl w:val="02FE3C68"/>
    <w:lvl w:ilvl="0" w:tplc="5E0EC9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8E2FF4"/>
    <w:multiLevelType w:val="hybridMultilevel"/>
    <w:tmpl w:val="743EF794"/>
    <w:lvl w:ilvl="0" w:tplc="29C039DE">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82564B"/>
    <w:multiLevelType w:val="hybridMultilevel"/>
    <w:tmpl w:val="9ED03B5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9E63E20"/>
    <w:multiLevelType w:val="hybridMultilevel"/>
    <w:tmpl w:val="FDE25DFC"/>
    <w:lvl w:ilvl="0" w:tplc="24B47D6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A612D2"/>
    <w:multiLevelType w:val="hybridMultilevel"/>
    <w:tmpl w:val="A432A2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44B18A2"/>
    <w:multiLevelType w:val="hybridMultilevel"/>
    <w:tmpl w:val="ACC2434E"/>
    <w:lvl w:ilvl="0" w:tplc="1474EB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6CB76C0"/>
    <w:multiLevelType w:val="hybridMultilevel"/>
    <w:tmpl w:val="0B3EB5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8017117"/>
    <w:multiLevelType w:val="hybridMultilevel"/>
    <w:tmpl w:val="F9FE156A"/>
    <w:lvl w:ilvl="0" w:tplc="80E8A232">
      <w:start w:val="1"/>
      <w:numFmt w:val="upperRoman"/>
      <w:lvlText w:val="%1."/>
      <w:lvlJc w:val="left"/>
      <w:pPr>
        <w:tabs>
          <w:tab w:val="num" w:pos="720"/>
        </w:tabs>
        <w:ind w:left="720" w:hanging="720"/>
      </w:pPr>
      <w:rPr>
        <w:rFonts w:hint="default"/>
      </w:rPr>
    </w:lvl>
    <w:lvl w:ilvl="1" w:tplc="F3EA2054">
      <w:start w:val="1"/>
      <w:numFmt w:val="upperLetter"/>
      <w:lvlText w:val="%2."/>
      <w:lvlJc w:val="left"/>
      <w:pPr>
        <w:tabs>
          <w:tab w:val="num" w:pos="1095"/>
        </w:tabs>
        <w:ind w:left="1095" w:hanging="375"/>
      </w:pPr>
      <w:rPr>
        <w:rFonts w:hint="default"/>
      </w:rPr>
    </w:lvl>
    <w:lvl w:ilvl="2" w:tplc="09AC65BA">
      <w:start w:val="1"/>
      <w:numFmt w:val="decimal"/>
      <w:lvlText w:val="%3."/>
      <w:lvlJc w:val="right"/>
      <w:pPr>
        <w:tabs>
          <w:tab w:val="num" w:pos="900"/>
        </w:tabs>
        <w:ind w:left="900" w:hanging="180"/>
      </w:pPr>
      <w:rPr>
        <w:rFonts w:ascii="Times New Roman" w:eastAsia="Times New Roman" w:hAnsi="Times New Roman" w:cs="Times New Roman" w:hint="default"/>
      </w:rPr>
    </w:lvl>
    <w:lvl w:ilvl="3" w:tplc="720A4336">
      <w:start w:val="1"/>
      <w:numFmt w:val="lowerLetter"/>
      <w:lvlText w:val="%4."/>
      <w:lvlJc w:val="left"/>
      <w:pPr>
        <w:tabs>
          <w:tab w:val="num" w:pos="1620"/>
        </w:tabs>
        <w:ind w:left="1620" w:hanging="720"/>
      </w:pPr>
      <w:rPr>
        <w:rFonts w:ascii="Times New Roman" w:eastAsia="Times New Roman" w:hAnsi="Times New Roman" w:cs="Times New Roman"/>
      </w:rPr>
    </w:lvl>
    <w:lvl w:ilvl="4" w:tplc="A386C896">
      <w:start w:val="1"/>
      <w:numFmt w:val="lowerLetter"/>
      <w:lvlText w:val="%5."/>
      <w:lvlJc w:val="left"/>
      <w:pPr>
        <w:tabs>
          <w:tab w:val="num" w:pos="3240"/>
        </w:tabs>
        <w:ind w:left="3240" w:hanging="360"/>
      </w:pPr>
      <w:rPr>
        <w:rFonts w:hint="default"/>
      </w:rPr>
    </w:lvl>
    <w:lvl w:ilvl="5" w:tplc="2FD8020A">
      <w:start w:val="1"/>
      <w:numFmt w:val="lowerRoman"/>
      <w:lvlText w:val="%6."/>
      <w:lvlJc w:val="left"/>
      <w:pPr>
        <w:tabs>
          <w:tab w:val="num" w:pos="4500"/>
        </w:tabs>
        <w:ind w:left="4500" w:hanging="720"/>
      </w:pPr>
      <w:rPr>
        <w:rFonts w:hint="default"/>
      </w:rPr>
    </w:lvl>
    <w:lvl w:ilvl="6" w:tplc="0409000F">
      <w:start w:val="1"/>
      <w:numFmt w:val="decimal"/>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85C7A6F"/>
    <w:multiLevelType w:val="hybridMultilevel"/>
    <w:tmpl w:val="8EFCC9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8D957D6"/>
    <w:multiLevelType w:val="hybridMultilevel"/>
    <w:tmpl w:val="05D62A50"/>
    <w:lvl w:ilvl="0" w:tplc="3C02635A">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99D29CA"/>
    <w:multiLevelType w:val="hybridMultilevel"/>
    <w:tmpl w:val="A6C6A28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CE519CE"/>
    <w:multiLevelType w:val="hybridMultilevel"/>
    <w:tmpl w:val="3D0A0D38"/>
    <w:lvl w:ilvl="0" w:tplc="04090001">
      <w:start w:val="1"/>
      <w:numFmt w:val="bullet"/>
      <w:lvlText w:val=""/>
      <w:lvlJc w:val="left"/>
      <w:pPr>
        <w:tabs>
          <w:tab w:val="num" w:pos="720"/>
        </w:tabs>
        <w:ind w:left="720" w:hanging="360"/>
      </w:pPr>
      <w:rPr>
        <w:rFonts w:ascii="Symbol" w:hAnsi="Symbol" w:hint="default"/>
      </w:rPr>
    </w:lvl>
    <w:lvl w:ilvl="1" w:tplc="8FD0986A">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3EFA5940">
      <w:start w:val="1"/>
      <w:numFmt w:val="decimal"/>
      <w:lvlText w:val="%4."/>
      <w:lvlJc w:val="left"/>
      <w:pPr>
        <w:tabs>
          <w:tab w:val="num" w:pos="3240"/>
        </w:tabs>
        <w:ind w:left="3240" w:hanging="720"/>
      </w:pPr>
      <w:rPr>
        <w:rFonts w:hint="default"/>
      </w:rPr>
    </w:lvl>
    <w:lvl w:ilvl="4" w:tplc="B22275EE">
      <w:start w:val="1"/>
      <w:numFmt w:val="lowerLetter"/>
      <w:lvlText w:val="%5."/>
      <w:lvlJc w:val="left"/>
      <w:pPr>
        <w:tabs>
          <w:tab w:val="num" w:pos="3960"/>
        </w:tabs>
        <w:ind w:left="3960" w:hanging="720"/>
      </w:pPr>
      <w:rPr>
        <w:rFonts w:hint="default"/>
      </w:rPr>
    </w:lvl>
    <w:lvl w:ilvl="5" w:tplc="F7621FD8">
      <w:start w:val="2"/>
      <w:numFmt w:val="decimal"/>
      <w:lvlText w:val="%6."/>
      <w:lvlJc w:val="left"/>
      <w:pPr>
        <w:tabs>
          <w:tab w:val="num" w:pos="4500"/>
        </w:tabs>
        <w:ind w:left="4500" w:hanging="360"/>
      </w:pPr>
      <w:rPr>
        <w:rFonts w:hint="default"/>
      </w:rPr>
    </w:lvl>
    <w:lvl w:ilvl="6" w:tplc="907EB6F0">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C04DA2"/>
    <w:multiLevelType w:val="hybridMultilevel"/>
    <w:tmpl w:val="C2CA3ECE"/>
    <w:lvl w:ilvl="0" w:tplc="9C700ED0">
      <w:start w:val="1"/>
      <w:numFmt w:val="upperLetter"/>
      <w:lvlText w:val="%1."/>
      <w:lvlJc w:val="left"/>
      <w:pPr>
        <w:tabs>
          <w:tab w:val="num" w:pos="1080"/>
        </w:tabs>
        <w:ind w:left="1080" w:hanging="720"/>
      </w:pPr>
      <w:rPr>
        <w:rFonts w:ascii="Times New Roman" w:eastAsia="Times New Roman" w:hAnsi="Times New Roman" w:cs="Times New Roman"/>
      </w:rPr>
    </w:lvl>
    <w:lvl w:ilvl="1" w:tplc="8FD0986A">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3EFA5940">
      <w:start w:val="1"/>
      <w:numFmt w:val="decimal"/>
      <w:lvlText w:val="%4."/>
      <w:lvlJc w:val="left"/>
      <w:pPr>
        <w:tabs>
          <w:tab w:val="num" w:pos="3240"/>
        </w:tabs>
        <w:ind w:left="3240" w:hanging="720"/>
      </w:pPr>
      <w:rPr>
        <w:rFonts w:hint="default"/>
      </w:rPr>
    </w:lvl>
    <w:lvl w:ilvl="4" w:tplc="B22275EE">
      <w:start w:val="1"/>
      <w:numFmt w:val="lowerLetter"/>
      <w:lvlText w:val="%5."/>
      <w:lvlJc w:val="left"/>
      <w:pPr>
        <w:tabs>
          <w:tab w:val="num" w:pos="3960"/>
        </w:tabs>
        <w:ind w:left="3960" w:hanging="720"/>
      </w:pPr>
      <w:rPr>
        <w:rFonts w:hint="default"/>
      </w:rPr>
    </w:lvl>
    <w:lvl w:ilvl="5" w:tplc="F7621FD8">
      <w:start w:val="2"/>
      <w:numFmt w:val="decimal"/>
      <w:lvlText w:val="%6."/>
      <w:lvlJc w:val="left"/>
      <w:pPr>
        <w:tabs>
          <w:tab w:val="num" w:pos="4500"/>
        </w:tabs>
        <w:ind w:left="4500" w:hanging="360"/>
      </w:pPr>
      <w:rPr>
        <w:rFonts w:hint="default"/>
      </w:rPr>
    </w:lvl>
    <w:lvl w:ilvl="6" w:tplc="907EB6F0">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7C7709"/>
    <w:multiLevelType w:val="hybridMultilevel"/>
    <w:tmpl w:val="1D2A5558"/>
    <w:lvl w:ilvl="0" w:tplc="A418CE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CD1CE9"/>
    <w:multiLevelType w:val="hybridMultilevel"/>
    <w:tmpl w:val="A2D658C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D1938D6"/>
    <w:multiLevelType w:val="hybridMultilevel"/>
    <w:tmpl w:val="FBD60262"/>
    <w:lvl w:ilvl="0" w:tplc="9432AD0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2A5D26"/>
    <w:multiLevelType w:val="hybridMultilevel"/>
    <w:tmpl w:val="49E069F2"/>
    <w:lvl w:ilvl="0" w:tplc="070A45FC">
      <w:start w:val="1"/>
      <w:numFmt w:val="bullet"/>
      <w:pStyle w:val="ListBullet5"/>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FF37FFE"/>
    <w:multiLevelType w:val="hybridMultilevel"/>
    <w:tmpl w:val="3ADC7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F3B47"/>
    <w:multiLevelType w:val="hybridMultilevel"/>
    <w:tmpl w:val="B2503940"/>
    <w:lvl w:ilvl="0" w:tplc="41E202E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6B5028"/>
    <w:multiLevelType w:val="hybridMultilevel"/>
    <w:tmpl w:val="8E4C7C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E5839E0"/>
    <w:multiLevelType w:val="hybridMultilevel"/>
    <w:tmpl w:val="3EAA5998"/>
    <w:lvl w:ilvl="0" w:tplc="0409000F">
      <w:start w:val="1"/>
      <w:numFmt w:val="decimal"/>
      <w:lvlText w:val="%1."/>
      <w:lvlJc w:val="left"/>
      <w:pPr>
        <w:tabs>
          <w:tab w:val="num" w:pos="1080"/>
        </w:tabs>
        <w:ind w:left="1080" w:hanging="360"/>
      </w:pPr>
      <w:rPr>
        <w:rFonts w:hint="default"/>
      </w:rPr>
    </w:lvl>
    <w:lvl w:ilvl="1" w:tplc="9DB22296">
      <w:start w:val="1"/>
      <w:numFmt w:val="lowerRoman"/>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864372"/>
    <w:multiLevelType w:val="hybridMultilevel"/>
    <w:tmpl w:val="8DFEE616"/>
    <w:lvl w:ilvl="0" w:tplc="A14EA18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775A1F"/>
    <w:multiLevelType w:val="hybridMultilevel"/>
    <w:tmpl w:val="B636A7A4"/>
    <w:lvl w:ilvl="0" w:tplc="E83CECB6">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E2D3848"/>
    <w:multiLevelType w:val="multilevel"/>
    <w:tmpl w:val="A2D658C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0AA18E8"/>
    <w:multiLevelType w:val="hybridMultilevel"/>
    <w:tmpl w:val="8876805E"/>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9" w15:restartNumberingAfterBreak="0">
    <w:nsid w:val="62285BB5"/>
    <w:multiLevelType w:val="hybridMultilevel"/>
    <w:tmpl w:val="E7568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2D834E6"/>
    <w:multiLevelType w:val="hybridMultilevel"/>
    <w:tmpl w:val="783C1166"/>
    <w:lvl w:ilvl="0" w:tplc="7512AB5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934470"/>
    <w:multiLevelType w:val="hybridMultilevel"/>
    <w:tmpl w:val="BBCE81E0"/>
    <w:lvl w:ilvl="0" w:tplc="90243E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0B1051"/>
    <w:multiLevelType w:val="multilevel"/>
    <w:tmpl w:val="E756854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AA84C6C"/>
    <w:multiLevelType w:val="hybridMultilevel"/>
    <w:tmpl w:val="5554EF8E"/>
    <w:lvl w:ilvl="0" w:tplc="AF12FBD4">
      <w:start w:val="4"/>
      <w:numFmt w:val="lowerRoman"/>
      <w:lvlText w:val="%1."/>
      <w:lvlJc w:val="left"/>
      <w:pPr>
        <w:tabs>
          <w:tab w:val="num" w:pos="3600"/>
        </w:tabs>
        <w:ind w:left="3600" w:hanging="720"/>
      </w:pPr>
      <w:rPr>
        <w:rFonts w:hint="default"/>
      </w:rPr>
    </w:lvl>
    <w:lvl w:ilvl="1" w:tplc="B5589FBE">
      <w:start w:val="2"/>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4" w15:restartNumberingAfterBreak="0">
    <w:nsid w:val="7BBE0490"/>
    <w:multiLevelType w:val="hybridMultilevel"/>
    <w:tmpl w:val="5D88B0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29"/>
  </w:num>
  <w:num w:numId="3">
    <w:abstractNumId w:val="11"/>
  </w:num>
  <w:num w:numId="4">
    <w:abstractNumId w:val="16"/>
  </w:num>
  <w:num w:numId="5">
    <w:abstractNumId w:val="3"/>
  </w:num>
  <w:num w:numId="6">
    <w:abstractNumId w:val="33"/>
  </w:num>
  <w:num w:numId="7">
    <w:abstractNumId w:val="1"/>
  </w:num>
  <w:num w:numId="8">
    <w:abstractNumId w:val="18"/>
  </w:num>
  <w:num w:numId="9">
    <w:abstractNumId w:val="27"/>
  </w:num>
  <w:num w:numId="10">
    <w:abstractNumId w:val="24"/>
  </w:num>
  <w:num w:numId="11">
    <w:abstractNumId w:val="15"/>
  </w:num>
  <w:num w:numId="12">
    <w:abstractNumId w:val="32"/>
  </w:num>
  <w:num w:numId="13">
    <w:abstractNumId w:val="28"/>
  </w:num>
  <w:num w:numId="14">
    <w:abstractNumId w:val="8"/>
  </w:num>
  <w:num w:numId="15">
    <w:abstractNumId w:val="13"/>
  </w:num>
  <w:num w:numId="16">
    <w:abstractNumId w:val="20"/>
  </w:num>
  <w:num w:numId="17">
    <w:abstractNumId w:val="9"/>
  </w:num>
  <w:num w:numId="18">
    <w:abstractNumId w:val="14"/>
  </w:num>
  <w:num w:numId="19">
    <w:abstractNumId w:val="23"/>
  </w:num>
  <w:num w:numId="20">
    <w:abstractNumId w:val="34"/>
  </w:num>
  <w:num w:numId="21">
    <w:abstractNumId w:val="6"/>
  </w:num>
  <w:num w:numId="22">
    <w:abstractNumId w:val="10"/>
  </w:num>
  <w:num w:numId="23">
    <w:abstractNumId w:val="0"/>
  </w:num>
  <w:num w:numId="24">
    <w:abstractNumId w:val="12"/>
  </w:num>
  <w:num w:numId="25">
    <w:abstractNumId w:val="19"/>
  </w:num>
  <w:num w:numId="26">
    <w:abstractNumId w:val="4"/>
  </w:num>
  <w:num w:numId="27">
    <w:abstractNumId w:val="30"/>
  </w:num>
  <w:num w:numId="28">
    <w:abstractNumId w:val="21"/>
  </w:num>
  <w:num w:numId="29">
    <w:abstractNumId w:val="31"/>
  </w:num>
  <w:num w:numId="30">
    <w:abstractNumId w:val="7"/>
  </w:num>
  <w:num w:numId="31">
    <w:abstractNumId w:val="5"/>
  </w:num>
  <w:num w:numId="32">
    <w:abstractNumId w:val="22"/>
  </w:num>
  <w:num w:numId="33">
    <w:abstractNumId w:val="26"/>
  </w:num>
  <w:num w:numId="34">
    <w:abstractNumId w:val="1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21"/>
    <w:rsid w:val="00005135"/>
    <w:rsid w:val="00007796"/>
    <w:rsid w:val="00017372"/>
    <w:rsid w:val="00050BCB"/>
    <w:rsid w:val="00056622"/>
    <w:rsid w:val="00063A88"/>
    <w:rsid w:val="0009057F"/>
    <w:rsid w:val="00093CC3"/>
    <w:rsid w:val="000A395E"/>
    <w:rsid w:val="000A5696"/>
    <w:rsid w:val="000B18F2"/>
    <w:rsid w:val="000C0538"/>
    <w:rsid w:val="000D4D89"/>
    <w:rsid w:val="000E4294"/>
    <w:rsid w:val="000E56FC"/>
    <w:rsid w:val="000F00E3"/>
    <w:rsid w:val="00100489"/>
    <w:rsid w:val="00120E4F"/>
    <w:rsid w:val="0012439D"/>
    <w:rsid w:val="00133332"/>
    <w:rsid w:val="00161599"/>
    <w:rsid w:val="001C4F91"/>
    <w:rsid w:val="001C5253"/>
    <w:rsid w:val="001E6BDB"/>
    <w:rsid w:val="001F17CD"/>
    <w:rsid w:val="001F49B4"/>
    <w:rsid w:val="001F6196"/>
    <w:rsid w:val="001F78F0"/>
    <w:rsid w:val="00211338"/>
    <w:rsid w:val="0022316D"/>
    <w:rsid w:val="00260C1A"/>
    <w:rsid w:val="002628E5"/>
    <w:rsid w:val="002702AC"/>
    <w:rsid w:val="00270301"/>
    <w:rsid w:val="00290F7C"/>
    <w:rsid w:val="002964B1"/>
    <w:rsid w:val="00296C74"/>
    <w:rsid w:val="002B0C61"/>
    <w:rsid w:val="002B164B"/>
    <w:rsid w:val="002B16B0"/>
    <w:rsid w:val="002D0CDB"/>
    <w:rsid w:val="002D28EB"/>
    <w:rsid w:val="002D2B66"/>
    <w:rsid w:val="002D5F55"/>
    <w:rsid w:val="002F6C0E"/>
    <w:rsid w:val="00300458"/>
    <w:rsid w:val="003301A6"/>
    <w:rsid w:val="0034301E"/>
    <w:rsid w:val="003474F0"/>
    <w:rsid w:val="0036022E"/>
    <w:rsid w:val="003E0FCB"/>
    <w:rsid w:val="003E5611"/>
    <w:rsid w:val="003F2C3C"/>
    <w:rsid w:val="003F4D7A"/>
    <w:rsid w:val="00406D70"/>
    <w:rsid w:val="00431B29"/>
    <w:rsid w:val="00465BB3"/>
    <w:rsid w:val="0046727B"/>
    <w:rsid w:val="004739C0"/>
    <w:rsid w:val="004850A6"/>
    <w:rsid w:val="0048620F"/>
    <w:rsid w:val="00490A92"/>
    <w:rsid w:val="00490F7D"/>
    <w:rsid w:val="00492F50"/>
    <w:rsid w:val="004E1831"/>
    <w:rsid w:val="00505B51"/>
    <w:rsid w:val="00511DC1"/>
    <w:rsid w:val="00517E77"/>
    <w:rsid w:val="005208FF"/>
    <w:rsid w:val="0052489F"/>
    <w:rsid w:val="005378DA"/>
    <w:rsid w:val="00545754"/>
    <w:rsid w:val="0055552C"/>
    <w:rsid w:val="00570502"/>
    <w:rsid w:val="005912B1"/>
    <w:rsid w:val="005C4FB9"/>
    <w:rsid w:val="005D3705"/>
    <w:rsid w:val="005D6004"/>
    <w:rsid w:val="005E1BAD"/>
    <w:rsid w:val="005E23BB"/>
    <w:rsid w:val="005E38E9"/>
    <w:rsid w:val="005E4BF0"/>
    <w:rsid w:val="005F0CBB"/>
    <w:rsid w:val="0061332C"/>
    <w:rsid w:val="006148CF"/>
    <w:rsid w:val="006606FB"/>
    <w:rsid w:val="006636CD"/>
    <w:rsid w:val="00676F67"/>
    <w:rsid w:val="006874CD"/>
    <w:rsid w:val="006B3167"/>
    <w:rsid w:val="006E16A7"/>
    <w:rsid w:val="006E29B8"/>
    <w:rsid w:val="006E2D07"/>
    <w:rsid w:val="006E7C28"/>
    <w:rsid w:val="006F3650"/>
    <w:rsid w:val="007026E0"/>
    <w:rsid w:val="00744ADA"/>
    <w:rsid w:val="00756B60"/>
    <w:rsid w:val="00776B4C"/>
    <w:rsid w:val="00783807"/>
    <w:rsid w:val="007928B2"/>
    <w:rsid w:val="00796C13"/>
    <w:rsid w:val="007A197C"/>
    <w:rsid w:val="007C3C27"/>
    <w:rsid w:val="007D7258"/>
    <w:rsid w:val="007E2110"/>
    <w:rsid w:val="007F1671"/>
    <w:rsid w:val="00810464"/>
    <w:rsid w:val="00841B2C"/>
    <w:rsid w:val="00857094"/>
    <w:rsid w:val="00870B94"/>
    <w:rsid w:val="00871EC5"/>
    <w:rsid w:val="00883FFC"/>
    <w:rsid w:val="008851D0"/>
    <w:rsid w:val="008976A9"/>
    <w:rsid w:val="00897B08"/>
    <w:rsid w:val="008A2523"/>
    <w:rsid w:val="008B0028"/>
    <w:rsid w:val="008B3CF9"/>
    <w:rsid w:val="008D69AC"/>
    <w:rsid w:val="008F067B"/>
    <w:rsid w:val="0091129E"/>
    <w:rsid w:val="00927C75"/>
    <w:rsid w:val="009A4B52"/>
    <w:rsid w:val="009A50F3"/>
    <w:rsid w:val="009C1FAC"/>
    <w:rsid w:val="009C392D"/>
    <w:rsid w:val="009D373F"/>
    <w:rsid w:val="009F62A2"/>
    <w:rsid w:val="00A343BA"/>
    <w:rsid w:val="00A371B0"/>
    <w:rsid w:val="00A3769D"/>
    <w:rsid w:val="00A52A48"/>
    <w:rsid w:val="00A535AC"/>
    <w:rsid w:val="00A643B9"/>
    <w:rsid w:val="00A65684"/>
    <w:rsid w:val="00A8262B"/>
    <w:rsid w:val="00A8485F"/>
    <w:rsid w:val="00AA2828"/>
    <w:rsid w:val="00AD55C6"/>
    <w:rsid w:val="00AF4D89"/>
    <w:rsid w:val="00B00E55"/>
    <w:rsid w:val="00B27104"/>
    <w:rsid w:val="00B31BCA"/>
    <w:rsid w:val="00B4498F"/>
    <w:rsid w:val="00B65882"/>
    <w:rsid w:val="00B7020E"/>
    <w:rsid w:val="00B743A2"/>
    <w:rsid w:val="00B8323F"/>
    <w:rsid w:val="00BA252C"/>
    <w:rsid w:val="00BB0ADC"/>
    <w:rsid w:val="00BB68B9"/>
    <w:rsid w:val="00C11FE4"/>
    <w:rsid w:val="00C207E2"/>
    <w:rsid w:val="00C61F6D"/>
    <w:rsid w:val="00C77240"/>
    <w:rsid w:val="00C86500"/>
    <w:rsid w:val="00CA1729"/>
    <w:rsid w:val="00CA4044"/>
    <w:rsid w:val="00CA44B2"/>
    <w:rsid w:val="00CD415B"/>
    <w:rsid w:val="00D10FC4"/>
    <w:rsid w:val="00D13758"/>
    <w:rsid w:val="00D13BB2"/>
    <w:rsid w:val="00D20E04"/>
    <w:rsid w:val="00D34FCC"/>
    <w:rsid w:val="00D46B79"/>
    <w:rsid w:val="00D66714"/>
    <w:rsid w:val="00D72C4C"/>
    <w:rsid w:val="00D84346"/>
    <w:rsid w:val="00DB34BB"/>
    <w:rsid w:val="00DC2F4D"/>
    <w:rsid w:val="00DD1388"/>
    <w:rsid w:val="00DD1888"/>
    <w:rsid w:val="00DE3104"/>
    <w:rsid w:val="00DE3E1B"/>
    <w:rsid w:val="00DF164B"/>
    <w:rsid w:val="00E121EE"/>
    <w:rsid w:val="00E12E21"/>
    <w:rsid w:val="00E277E0"/>
    <w:rsid w:val="00E35AAB"/>
    <w:rsid w:val="00E44496"/>
    <w:rsid w:val="00E512A6"/>
    <w:rsid w:val="00E6018C"/>
    <w:rsid w:val="00E62436"/>
    <w:rsid w:val="00E624FC"/>
    <w:rsid w:val="00E74875"/>
    <w:rsid w:val="00E749C6"/>
    <w:rsid w:val="00E83273"/>
    <w:rsid w:val="00EB137E"/>
    <w:rsid w:val="00EC14A6"/>
    <w:rsid w:val="00EC1CC3"/>
    <w:rsid w:val="00ED05C6"/>
    <w:rsid w:val="00ED7697"/>
    <w:rsid w:val="00EE27F7"/>
    <w:rsid w:val="00EE353A"/>
    <w:rsid w:val="00F052A6"/>
    <w:rsid w:val="00F118FC"/>
    <w:rsid w:val="00F15254"/>
    <w:rsid w:val="00F16E88"/>
    <w:rsid w:val="00F20323"/>
    <w:rsid w:val="00F65E98"/>
    <w:rsid w:val="00F7194E"/>
    <w:rsid w:val="00FB3171"/>
    <w:rsid w:val="00FC1D4E"/>
    <w:rsid w:val="00FC78F2"/>
    <w:rsid w:val="00FD3619"/>
    <w:rsid w:val="00FD6486"/>
    <w:rsid w:val="00FD6CAB"/>
    <w:rsid w:val="00FE7C1F"/>
    <w:rsid w:val="00FF0AF8"/>
    <w:rsid w:val="00FF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F0682D-0A3C-405C-BBD5-1B68399C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paragraph" w:styleId="Heading3">
    <w:name w:val="heading 3"/>
    <w:basedOn w:val="Normal"/>
    <w:qFormat/>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List3">
    <w:name w:val="List 3"/>
    <w:basedOn w:val="Normal"/>
    <w:pPr>
      <w:ind w:left="1080" w:hanging="360"/>
    </w:pPr>
    <w:rPr>
      <w:rFonts w:ascii="Times New Roman" w:hAnsi="Times New Roman" w:cs="Times New Roman"/>
    </w:rPr>
  </w:style>
  <w:style w:type="paragraph" w:styleId="ListContinue2">
    <w:name w:val="List Continue 2"/>
    <w:basedOn w:val="Normal"/>
    <w:pPr>
      <w:spacing w:after="120"/>
      <w:ind w:left="720"/>
    </w:pPr>
    <w:rPr>
      <w:rFonts w:ascii="Times New Roman" w:hAnsi="Times New Roman" w:cs="Times New Roman"/>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overflowPunct w:val="0"/>
      <w:autoSpaceDE w:val="0"/>
      <w:autoSpaceDN w:val="0"/>
      <w:adjustRightInd w:val="0"/>
      <w:spacing w:after="120"/>
      <w:textAlignment w:val="baseline"/>
    </w:pPr>
    <w:rPr>
      <w:rFonts w:ascii="Times New Roman" w:hAnsi="Times New Roman" w:cs="Times New Roman"/>
      <w:szCs w:val="20"/>
    </w:rPr>
  </w:style>
  <w:style w:type="paragraph" w:styleId="Title">
    <w:name w:val="Title"/>
    <w:basedOn w:val="Normal"/>
    <w:qFormat/>
    <w:pPr>
      <w:overflowPunct w:val="0"/>
      <w:autoSpaceDE w:val="0"/>
      <w:autoSpaceDN w:val="0"/>
      <w:adjustRightInd w:val="0"/>
      <w:spacing w:before="240" w:after="60"/>
      <w:jc w:val="center"/>
      <w:textAlignment w:val="baseline"/>
    </w:pPr>
    <w:rPr>
      <w:rFonts w:cs="Times New Roman"/>
      <w:b/>
      <w:kern w:val="28"/>
      <w:sz w:val="32"/>
      <w:szCs w:val="20"/>
    </w:rPr>
  </w:style>
  <w:style w:type="paragraph" w:styleId="Subtitle">
    <w:name w:val="Subtitle"/>
    <w:basedOn w:val="Normal"/>
    <w:qFormat/>
    <w:pPr>
      <w:overflowPunct w:val="0"/>
      <w:autoSpaceDE w:val="0"/>
      <w:autoSpaceDN w:val="0"/>
      <w:adjustRightInd w:val="0"/>
      <w:spacing w:after="60"/>
      <w:jc w:val="center"/>
      <w:textAlignment w:val="baseline"/>
    </w:pPr>
    <w:rPr>
      <w:rFonts w:cs="Times New Roman"/>
      <w:i/>
      <w:szCs w:val="20"/>
    </w:rPr>
  </w:style>
  <w:style w:type="character" w:customStyle="1" w:styleId="starpage">
    <w:name w:val="starpage"/>
    <w:basedOn w:val="DefaultParagraphFont"/>
  </w:style>
  <w:style w:type="character" w:customStyle="1" w:styleId="searchterm">
    <w:name w:val="searchterm"/>
    <w:basedOn w:val="DefaultParagraphFont"/>
  </w:style>
  <w:style w:type="paragraph" w:styleId="BodyTextIndent">
    <w:name w:val="Body Text Indent"/>
    <w:basedOn w:val="Normal"/>
    <w:pPr>
      <w:spacing w:after="120"/>
      <w:ind w:left="360"/>
    </w:pPr>
  </w:style>
  <w:style w:type="paragraph" w:styleId="List4">
    <w:name w:val="List 4"/>
    <w:basedOn w:val="Normal"/>
    <w:pPr>
      <w:ind w:left="1440" w:hanging="360"/>
    </w:pPr>
    <w:rPr>
      <w:rFonts w:ascii="Times New Roman" w:hAnsi="Times New Roman" w:cs="Times New Roman"/>
    </w:rPr>
  </w:style>
  <w:style w:type="paragraph" w:styleId="ListBullet5">
    <w:name w:val="List Bullet 5"/>
    <w:basedOn w:val="Normal"/>
    <w:autoRedefine/>
    <w:pPr>
      <w:numPr>
        <w:numId w:val="16"/>
      </w:numPr>
      <w:tabs>
        <w:tab w:val="clear" w:pos="2160"/>
      </w:tabs>
      <w:ind w:left="2520"/>
    </w:pPr>
    <w:rPr>
      <w:rFonts w:ascii="Times New Roman" w:hAnsi="Times New Roman" w:cs="Times New Roman"/>
    </w:rPr>
  </w:style>
  <w:style w:type="paragraph" w:styleId="List2">
    <w:name w:val="List 2"/>
    <w:basedOn w:val="Normal"/>
    <w:pPr>
      <w:ind w:left="720" w:hanging="360"/>
    </w:pPr>
    <w:rPr>
      <w:rFonts w:ascii="Times New Roman" w:hAnsi="Times New Roman" w:cs="Times New Roman"/>
    </w:rPr>
  </w:style>
  <w:style w:type="character" w:customStyle="1" w:styleId="searchterm1">
    <w:name w:val="searchterm1"/>
    <w:rPr>
      <w:b/>
      <w:bCs/>
      <w:shd w:val="clear" w:color="auto" w:fill="FFFF00"/>
    </w:rPr>
  </w:style>
  <w:style w:type="paragraph" w:styleId="ListContinue4">
    <w:name w:val="List Continue 4"/>
    <w:basedOn w:val="Normal"/>
    <w:pPr>
      <w:spacing w:after="120"/>
      <w:ind w:left="1440"/>
    </w:pPr>
    <w:rPr>
      <w:rFonts w:ascii="Times New Roman" w:hAnsi="Times New Roman" w:cs="Times New Roman"/>
    </w:rPr>
  </w:style>
  <w:style w:type="paragraph" w:styleId="BodyText2">
    <w:name w:val="Body Text 2"/>
    <w:basedOn w:val="Normal"/>
    <w:pPr>
      <w:spacing w:after="120" w:line="480" w:lineRule="auto"/>
    </w:pPr>
  </w:style>
  <w:style w:type="paragraph" w:styleId="BalloonText">
    <w:name w:val="Balloon Text"/>
    <w:basedOn w:val="Normal"/>
    <w:rPr>
      <w:rFonts w:ascii="Tahoma" w:hAnsi="Tahoma" w:cs="Tahoma"/>
      <w:sz w:val="16"/>
      <w:szCs w:val="16"/>
    </w:rPr>
  </w:style>
  <w:style w:type="character" w:customStyle="1" w:styleId="CharChar2">
    <w:name w:val=" Char Char2"/>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CharChar1">
    <w:name w:val=" Char Char1"/>
    <w:rPr>
      <w:rFonts w:ascii="Arial" w:hAnsi="Arial" w:cs="Arial"/>
      <w:sz w:val="24"/>
      <w:szCs w:val="24"/>
    </w:rPr>
  </w:style>
  <w:style w:type="paragraph" w:styleId="Footer">
    <w:name w:val="footer"/>
    <w:basedOn w:val="Normal"/>
    <w:pPr>
      <w:tabs>
        <w:tab w:val="center" w:pos="4680"/>
        <w:tab w:val="right" w:pos="9360"/>
      </w:tabs>
    </w:pPr>
  </w:style>
  <w:style w:type="character" w:customStyle="1" w:styleId="CharChar">
    <w:name w:val=" Char Char"/>
    <w:rPr>
      <w:rFonts w:ascii="Arial" w:hAnsi="Arial" w:cs="Arial"/>
      <w:sz w:val="24"/>
      <w:szCs w:val="24"/>
    </w:rPr>
  </w:style>
  <w:style w:type="table" w:styleId="TableGrid">
    <w:name w:val="Table Grid"/>
    <w:basedOn w:val="TableNormal"/>
    <w:rsid w:val="006E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E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699786">
      <w:bodyDiv w:val="1"/>
      <w:marLeft w:val="0"/>
      <w:marRight w:val="0"/>
      <w:marTop w:val="0"/>
      <w:marBottom w:val="0"/>
      <w:divBdr>
        <w:top w:val="none" w:sz="0" w:space="0" w:color="auto"/>
        <w:left w:val="none" w:sz="0" w:space="0" w:color="auto"/>
        <w:bottom w:val="none" w:sz="0" w:space="0" w:color="auto"/>
        <w:right w:val="none" w:sz="0" w:space="0" w:color="auto"/>
      </w:divBdr>
      <w:divsChild>
        <w:div w:id="1102412782">
          <w:marLeft w:val="0"/>
          <w:marRight w:val="0"/>
          <w:marTop w:val="0"/>
          <w:marBottom w:val="0"/>
          <w:divBdr>
            <w:top w:val="none" w:sz="0" w:space="0" w:color="auto"/>
            <w:left w:val="none" w:sz="0" w:space="0" w:color="auto"/>
            <w:bottom w:val="none" w:sz="0" w:space="0" w:color="auto"/>
            <w:right w:val="none" w:sz="0" w:space="0" w:color="auto"/>
          </w:divBdr>
          <w:divsChild>
            <w:div w:id="14433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2360">
      <w:bodyDiv w:val="1"/>
      <w:marLeft w:val="0"/>
      <w:marRight w:val="0"/>
      <w:marTop w:val="0"/>
      <w:marBottom w:val="0"/>
      <w:divBdr>
        <w:top w:val="none" w:sz="0" w:space="0" w:color="auto"/>
        <w:left w:val="none" w:sz="0" w:space="0" w:color="auto"/>
        <w:bottom w:val="none" w:sz="0" w:space="0" w:color="auto"/>
        <w:right w:val="none" w:sz="0" w:space="0" w:color="auto"/>
      </w:divBdr>
      <w:divsChild>
        <w:div w:id="990983726">
          <w:marLeft w:val="0"/>
          <w:marRight w:val="0"/>
          <w:marTop w:val="0"/>
          <w:marBottom w:val="0"/>
          <w:divBdr>
            <w:top w:val="none" w:sz="0" w:space="0" w:color="auto"/>
            <w:left w:val="none" w:sz="0" w:space="0" w:color="auto"/>
            <w:bottom w:val="none" w:sz="0" w:space="0" w:color="auto"/>
            <w:right w:val="none" w:sz="0" w:space="0" w:color="auto"/>
          </w:divBdr>
          <w:divsChild>
            <w:div w:id="322660425">
              <w:marLeft w:val="0"/>
              <w:marRight w:val="0"/>
              <w:marTop w:val="240"/>
              <w:marBottom w:val="0"/>
              <w:divBdr>
                <w:top w:val="none" w:sz="0" w:space="0" w:color="auto"/>
                <w:left w:val="none" w:sz="0" w:space="0" w:color="auto"/>
                <w:bottom w:val="none" w:sz="0" w:space="0" w:color="auto"/>
                <w:right w:val="none" w:sz="0" w:space="0" w:color="auto"/>
              </w:divBdr>
              <w:divsChild>
                <w:div w:id="222370134">
                  <w:marLeft w:val="0"/>
                  <w:marRight w:val="0"/>
                  <w:marTop w:val="0"/>
                  <w:marBottom w:val="0"/>
                  <w:divBdr>
                    <w:top w:val="none" w:sz="0" w:space="0" w:color="auto"/>
                    <w:left w:val="none" w:sz="0" w:space="0" w:color="auto"/>
                    <w:bottom w:val="none" w:sz="0" w:space="0" w:color="auto"/>
                    <w:right w:val="none" w:sz="0" w:space="0" w:color="auto"/>
                  </w:divBdr>
                </w:div>
              </w:divsChild>
            </w:div>
            <w:div w:id="863060056">
              <w:marLeft w:val="0"/>
              <w:marRight w:val="0"/>
              <w:marTop w:val="0"/>
              <w:marBottom w:val="0"/>
              <w:divBdr>
                <w:top w:val="none" w:sz="0" w:space="0" w:color="auto"/>
                <w:left w:val="none" w:sz="0" w:space="0" w:color="auto"/>
                <w:bottom w:val="none" w:sz="0" w:space="0" w:color="auto"/>
                <w:right w:val="none" w:sz="0" w:space="0" w:color="auto"/>
              </w:divBdr>
              <w:divsChild>
                <w:div w:id="1096439975">
                  <w:marLeft w:val="0"/>
                  <w:marRight w:val="0"/>
                  <w:marTop w:val="0"/>
                  <w:marBottom w:val="0"/>
                  <w:divBdr>
                    <w:top w:val="none" w:sz="0" w:space="0" w:color="auto"/>
                    <w:left w:val="none" w:sz="0" w:space="0" w:color="auto"/>
                    <w:bottom w:val="none" w:sz="0" w:space="0" w:color="auto"/>
                    <w:right w:val="none" w:sz="0" w:space="0" w:color="auto"/>
                  </w:divBdr>
                </w:div>
              </w:divsChild>
            </w:div>
            <w:div w:id="16033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520">
      <w:bodyDiv w:val="1"/>
      <w:marLeft w:val="0"/>
      <w:marRight w:val="0"/>
      <w:marTop w:val="0"/>
      <w:marBottom w:val="0"/>
      <w:divBdr>
        <w:top w:val="none" w:sz="0" w:space="0" w:color="auto"/>
        <w:left w:val="none" w:sz="0" w:space="0" w:color="auto"/>
        <w:bottom w:val="none" w:sz="0" w:space="0" w:color="auto"/>
        <w:right w:val="none" w:sz="0" w:space="0" w:color="auto"/>
      </w:divBdr>
    </w:div>
    <w:div w:id="892278625">
      <w:bodyDiv w:val="1"/>
      <w:marLeft w:val="0"/>
      <w:marRight w:val="0"/>
      <w:marTop w:val="0"/>
      <w:marBottom w:val="0"/>
      <w:divBdr>
        <w:top w:val="none" w:sz="0" w:space="0" w:color="auto"/>
        <w:left w:val="none" w:sz="0" w:space="0" w:color="auto"/>
        <w:bottom w:val="none" w:sz="0" w:space="0" w:color="auto"/>
        <w:right w:val="none" w:sz="0" w:space="0" w:color="auto"/>
      </w:divBdr>
      <w:divsChild>
        <w:div w:id="1741323848">
          <w:marLeft w:val="0"/>
          <w:marRight w:val="0"/>
          <w:marTop w:val="0"/>
          <w:marBottom w:val="0"/>
          <w:divBdr>
            <w:top w:val="none" w:sz="0" w:space="0" w:color="auto"/>
            <w:left w:val="none" w:sz="0" w:space="0" w:color="auto"/>
            <w:bottom w:val="none" w:sz="0" w:space="0" w:color="auto"/>
            <w:right w:val="none" w:sz="0" w:space="0" w:color="auto"/>
          </w:divBdr>
          <w:divsChild>
            <w:div w:id="14230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8973">
      <w:bodyDiv w:val="1"/>
      <w:marLeft w:val="0"/>
      <w:marRight w:val="0"/>
      <w:marTop w:val="0"/>
      <w:marBottom w:val="0"/>
      <w:divBdr>
        <w:top w:val="none" w:sz="0" w:space="0" w:color="auto"/>
        <w:left w:val="none" w:sz="0" w:space="0" w:color="auto"/>
        <w:bottom w:val="none" w:sz="0" w:space="0" w:color="auto"/>
        <w:right w:val="none" w:sz="0" w:space="0" w:color="auto"/>
      </w:divBdr>
      <w:divsChild>
        <w:div w:id="1569488236">
          <w:marLeft w:val="0"/>
          <w:marRight w:val="0"/>
          <w:marTop w:val="0"/>
          <w:marBottom w:val="0"/>
          <w:divBdr>
            <w:top w:val="none" w:sz="0" w:space="0" w:color="auto"/>
            <w:left w:val="none" w:sz="0" w:space="0" w:color="auto"/>
            <w:bottom w:val="none" w:sz="0" w:space="0" w:color="auto"/>
            <w:right w:val="none" w:sz="0" w:space="0" w:color="auto"/>
          </w:divBdr>
          <w:divsChild>
            <w:div w:id="4892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999">
      <w:bodyDiv w:val="1"/>
      <w:marLeft w:val="0"/>
      <w:marRight w:val="0"/>
      <w:marTop w:val="0"/>
      <w:marBottom w:val="0"/>
      <w:divBdr>
        <w:top w:val="none" w:sz="0" w:space="0" w:color="auto"/>
        <w:left w:val="none" w:sz="0" w:space="0" w:color="auto"/>
        <w:bottom w:val="none" w:sz="0" w:space="0" w:color="auto"/>
        <w:right w:val="none" w:sz="0" w:space="0" w:color="auto"/>
      </w:divBdr>
      <w:divsChild>
        <w:div w:id="1618832877">
          <w:marLeft w:val="0"/>
          <w:marRight w:val="0"/>
          <w:marTop w:val="0"/>
          <w:marBottom w:val="0"/>
          <w:divBdr>
            <w:top w:val="none" w:sz="0" w:space="0" w:color="auto"/>
            <w:left w:val="none" w:sz="0" w:space="0" w:color="auto"/>
            <w:bottom w:val="none" w:sz="0" w:space="0" w:color="auto"/>
            <w:right w:val="none" w:sz="0" w:space="0" w:color="auto"/>
          </w:divBdr>
          <w:divsChild>
            <w:div w:id="513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271">
      <w:bodyDiv w:val="1"/>
      <w:marLeft w:val="0"/>
      <w:marRight w:val="0"/>
      <w:marTop w:val="0"/>
      <w:marBottom w:val="0"/>
      <w:divBdr>
        <w:top w:val="none" w:sz="0" w:space="0" w:color="auto"/>
        <w:left w:val="none" w:sz="0" w:space="0" w:color="auto"/>
        <w:bottom w:val="none" w:sz="0" w:space="0" w:color="auto"/>
        <w:right w:val="none" w:sz="0" w:space="0" w:color="auto"/>
      </w:divBdr>
    </w:div>
    <w:div w:id="1737698619">
      <w:bodyDiv w:val="1"/>
      <w:marLeft w:val="0"/>
      <w:marRight w:val="0"/>
      <w:marTop w:val="0"/>
      <w:marBottom w:val="0"/>
      <w:divBdr>
        <w:top w:val="none" w:sz="0" w:space="0" w:color="auto"/>
        <w:left w:val="none" w:sz="0" w:space="0" w:color="auto"/>
        <w:bottom w:val="none" w:sz="0" w:space="0" w:color="auto"/>
        <w:right w:val="none" w:sz="0" w:space="0" w:color="auto"/>
      </w:divBdr>
      <w:divsChild>
        <w:div w:id="2128431739">
          <w:marLeft w:val="0"/>
          <w:marRight w:val="0"/>
          <w:marTop w:val="0"/>
          <w:marBottom w:val="0"/>
          <w:divBdr>
            <w:top w:val="none" w:sz="0" w:space="0" w:color="auto"/>
            <w:left w:val="none" w:sz="0" w:space="0" w:color="auto"/>
            <w:bottom w:val="none" w:sz="0" w:space="0" w:color="auto"/>
            <w:right w:val="none" w:sz="0" w:space="0" w:color="auto"/>
          </w:divBdr>
          <w:divsChild>
            <w:div w:id="5570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41">
      <w:bodyDiv w:val="1"/>
      <w:marLeft w:val="0"/>
      <w:marRight w:val="0"/>
      <w:marTop w:val="0"/>
      <w:marBottom w:val="0"/>
      <w:divBdr>
        <w:top w:val="none" w:sz="0" w:space="0" w:color="auto"/>
        <w:left w:val="none" w:sz="0" w:space="0" w:color="auto"/>
        <w:bottom w:val="none" w:sz="0" w:space="0" w:color="auto"/>
        <w:right w:val="none" w:sz="0" w:space="0" w:color="auto"/>
      </w:divBdr>
      <w:divsChild>
        <w:div w:id="1642924609">
          <w:marLeft w:val="0"/>
          <w:marRight w:val="0"/>
          <w:marTop w:val="0"/>
          <w:marBottom w:val="0"/>
          <w:divBdr>
            <w:top w:val="none" w:sz="0" w:space="0" w:color="auto"/>
            <w:left w:val="none" w:sz="0" w:space="0" w:color="auto"/>
            <w:bottom w:val="none" w:sz="0" w:space="0" w:color="auto"/>
            <w:right w:val="none" w:sz="0" w:space="0" w:color="auto"/>
          </w:divBdr>
          <w:divsChild>
            <w:div w:id="4401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1238-48A2-4D35-BAF7-746A46F5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California Emergency Services Act (Gov</vt:lpstr>
    </vt:vector>
  </TitlesOfParts>
  <Company>SWRCB</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Emergency Services Act (Gov</dc:title>
  <dc:subject/>
  <dc:creator>Andy Sawyer</dc:creator>
  <cp:keywords/>
  <cp:lastModifiedBy>Sawyer, Andy@Waterboards</cp:lastModifiedBy>
  <cp:revision>2</cp:revision>
  <dcterms:created xsi:type="dcterms:W3CDTF">2018-12-20T20:21:00Z</dcterms:created>
  <dcterms:modified xsi:type="dcterms:W3CDTF">2018-12-20T20:21:00Z</dcterms:modified>
</cp:coreProperties>
</file>